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44"/>
          <w:szCs w:val="44"/>
        </w:rPr>
      </w:pPr>
      <w:r>
        <w:rPr>
          <w:rFonts w:hint="eastAsia" w:ascii="宋体" w:hAnsi="宋体" w:eastAsia="宋体" w:cs="宋体"/>
          <w:b/>
          <w:bCs/>
          <w:sz w:val="44"/>
          <w:szCs w:val="44"/>
          <w:lang w:eastAsia="zh-CN"/>
        </w:rPr>
        <w:t>洮北区</w:t>
      </w:r>
      <w:r>
        <w:rPr>
          <w:rFonts w:hint="eastAsia" w:ascii="宋体" w:hAnsi="宋体" w:eastAsia="宋体" w:cs="宋体"/>
          <w:b/>
          <w:bCs/>
          <w:sz w:val="44"/>
          <w:szCs w:val="44"/>
        </w:rPr>
        <w:t>人民法院</w:t>
      </w:r>
    </w:p>
    <w:p>
      <w:pPr>
        <w:jc w:val="center"/>
        <w:rPr>
          <w:rFonts w:ascii="宋体" w:hAnsi="宋体" w:eastAsia="宋体" w:cs="宋体"/>
          <w:b/>
          <w:bCs/>
          <w:sz w:val="44"/>
          <w:szCs w:val="44"/>
        </w:rPr>
      </w:pPr>
      <w:r>
        <w:rPr>
          <w:rFonts w:hint="eastAsia" w:ascii="宋体" w:hAnsi="宋体" w:eastAsia="宋体" w:cs="宋体"/>
          <w:b/>
          <w:bCs/>
          <w:sz w:val="44"/>
          <w:szCs w:val="44"/>
        </w:rPr>
        <w:t>绩效考核工作暂行办法（征求意见稿）</w:t>
      </w:r>
    </w:p>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6"/>
          <w:szCs w:val="36"/>
        </w:rPr>
      </w:pPr>
      <w:r>
        <w:rPr>
          <w:rFonts w:hint="eastAsia" w:ascii="黑体" w:hAnsi="黑体" w:eastAsia="黑体" w:cs="黑体"/>
          <w:sz w:val="36"/>
          <w:szCs w:val="36"/>
        </w:rPr>
        <w:t>目   录</w:t>
      </w:r>
    </w:p>
    <w:p>
      <w:pPr>
        <w:jc w:val="center"/>
        <w:rPr>
          <w:rFonts w:ascii="黑体" w:hAnsi="黑体" w:eastAsia="黑体" w:cs="黑体"/>
          <w:sz w:val="32"/>
          <w:szCs w:val="32"/>
        </w:rPr>
      </w:pPr>
    </w:p>
    <w:p>
      <w:pPr>
        <w:numPr>
          <w:ilvl w:val="0"/>
          <w:numId w:val="1"/>
        </w:numPr>
        <w:jc w:val="center"/>
        <w:rPr>
          <w:rFonts w:ascii="黑体" w:hAnsi="黑体" w:eastAsia="黑体" w:cs="黑体"/>
          <w:sz w:val="32"/>
          <w:szCs w:val="32"/>
        </w:rPr>
      </w:pPr>
      <w:r>
        <w:rPr>
          <w:rFonts w:hint="eastAsia" w:ascii="黑体" w:hAnsi="黑体" w:eastAsia="黑体" w:cs="黑体"/>
          <w:sz w:val="32"/>
          <w:szCs w:val="32"/>
        </w:rPr>
        <w:t xml:space="preserve">         组织机构</w:t>
      </w:r>
    </w:p>
    <w:p>
      <w:pPr>
        <w:numPr>
          <w:ilvl w:val="0"/>
          <w:numId w:val="1"/>
        </w:numPr>
        <w:jc w:val="center"/>
        <w:rPr>
          <w:rFonts w:ascii="黑体" w:hAnsi="黑体" w:eastAsia="黑体" w:cs="黑体"/>
          <w:sz w:val="32"/>
          <w:szCs w:val="32"/>
        </w:rPr>
      </w:pPr>
      <w:r>
        <w:rPr>
          <w:rFonts w:hint="eastAsia" w:ascii="黑体" w:hAnsi="黑体" w:eastAsia="黑体" w:cs="黑体"/>
          <w:sz w:val="32"/>
          <w:szCs w:val="32"/>
        </w:rPr>
        <w:t xml:space="preserve">         考核原则</w:t>
      </w:r>
    </w:p>
    <w:p>
      <w:pPr>
        <w:numPr>
          <w:ilvl w:val="0"/>
          <w:numId w:val="1"/>
        </w:numPr>
        <w:jc w:val="center"/>
        <w:rPr>
          <w:rFonts w:ascii="黑体" w:hAnsi="黑体" w:eastAsia="黑体" w:cs="黑体"/>
          <w:sz w:val="32"/>
          <w:szCs w:val="32"/>
        </w:rPr>
      </w:pPr>
      <w:r>
        <w:rPr>
          <w:rFonts w:hint="eastAsia" w:ascii="黑体" w:hAnsi="黑体" w:eastAsia="黑体" w:cs="黑体"/>
          <w:sz w:val="32"/>
          <w:szCs w:val="32"/>
        </w:rPr>
        <w:t xml:space="preserve">         部门考核</w:t>
      </w:r>
    </w:p>
    <w:p>
      <w:pPr>
        <w:numPr>
          <w:ilvl w:val="0"/>
          <w:numId w:val="1"/>
        </w:numPr>
        <w:jc w:val="center"/>
        <w:rPr>
          <w:rFonts w:ascii="黑体" w:hAnsi="黑体" w:eastAsia="黑体" w:cs="黑体"/>
          <w:sz w:val="32"/>
          <w:szCs w:val="32"/>
        </w:rPr>
      </w:pPr>
      <w:r>
        <w:rPr>
          <w:rFonts w:hint="eastAsia" w:ascii="黑体" w:hAnsi="黑体" w:eastAsia="黑体" w:cs="黑体"/>
          <w:sz w:val="32"/>
          <w:szCs w:val="32"/>
        </w:rPr>
        <w:t xml:space="preserve">         个人考核</w:t>
      </w:r>
    </w:p>
    <w:p>
      <w:pPr>
        <w:numPr>
          <w:ilvl w:val="0"/>
          <w:numId w:val="1"/>
        </w:numPr>
        <w:jc w:val="center"/>
        <w:rPr>
          <w:rFonts w:ascii="黑体" w:hAnsi="黑体" w:eastAsia="黑体" w:cs="黑体"/>
          <w:sz w:val="32"/>
          <w:szCs w:val="32"/>
        </w:rPr>
      </w:pPr>
      <w:r>
        <w:rPr>
          <w:rFonts w:hint="eastAsia" w:ascii="黑体" w:hAnsi="黑体" w:eastAsia="黑体" w:cs="黑体"/>
          <w:sz w:val="32"/>
          <w:szCs w:val="32"/>
        </w:rPr>
        <w:t xml:space="preserve">         结果运用</w:t>
      </w:r>
    </w:p>
    <w:p>
      <w:pPr>
        <w:numPr>
          <w:ilvl w:val="0"/>
          <w:numId w:val="1"/>
        </w:numPr>
        <w:jc w:val="center"/>
        <w:rPr>
          <w:rFonts w:ascii="黑体" w:hAnsi="黑体" w:eastAsia="黑体" w:cs="黑体"/>
          <w:sz w:val="32"/>
          <w:szCs w:val="32"/>
        </w:rPr>
      </w:pPr>
      <w:r>
        <w:rPr>
          <w:rFonts w:hint="eastAsia" w:ascii="黑体" w:hAnsi="黑体" w:eastAsia="黑体" w:cs="黑体"/>
          <w:sz w:val="32"/>
          <w:szCs w:val="32"/>
        </w:rPr>
        <w:t xml:space="preserve">         纪律监督</w:t>
      </w:r>
    </w:p>
    <w:p>
      <w:pPr>
        <w:numPr>
          <w:ilvl w:val="0"/>
          <w:numId w:val="1"/>
        </w:numPr>
        <w:jc w:val="center"/>
        <w:rPr>
          <w:rFonts w:ascii="黑体" w:hAnsi="黑体" w:eastAsia="黑体" w:cs="黑体"/>
          <w:sz w:val="32"/>
          <w:szCs w:val="32"/>
        </w:rPr>
      </w:pPr>
      <w:r>
        <w:rPr>
          <w:rFonts w:hint="eastAsia" w:ascii="黑体" w:hAnsi="黑体" w:eastAsia="黑体" w:cs="黑体"/>
          <w:sz w:val="32"/>
          <w:szCs w:val="32"/>
        </w:rPr>
        <w:t xml:space="preserve">         附    则</w:t>
      </w:r>
    </w:p>
    <w:p>
      <w:pPr>
        <w:jc w:val="center"/>
        <w:rPr>
          <w:rFonts w:ascii="黑体" w:hAnsi="黑体" w:eastAsia="黑体" w:cs="黑体"/>
          <w:sz w:val="32"/>
          <w:szCs w:val="32"/>
        </w:rPr>
      </w:pPr>
    </w:p>
    <w:p>
      <w:pPr>
        <w:jc w:val="center"/>
        <w:rPr>
          <w:rFonts w:ascii="黑体" w:hAnsi="黑体" w:eastAsia="黑体" w:cs="黑体"/>
          <w:sz w:val="32"/>
          <w:szCs w:val="32"/>
        </w:rPr>
      </w:pPr>
    </w:p>
    <w:p>
      <w:pPr>
        <w:spacing w:line="570" w:lineRule="exact"/>
        <w:jc w:val="center"/>
        <w:rPr>
          <w:rFonts w:ascii="黑体" w:hAnsi="黑体" w:eastAsia="黑体" w:cs="黑体"/>
          <w:sz w:val="32"/>
          <w:szCs w:val="32"/>
        </w:rPr>
      </w:pPr>
      <w:r>
        <w:rPr>
          <w:rFonts w:hint="eastAsia" w:ascii="黑体" w:hAnsi="黑体" w:eastAsia="黑体" w:cs="黑体"/>
          <w:sz w:val="32"/>
          <w:szCs w:val="32"/>
        </w:rPr>
        <w:t>第一章  组织机构</w:t>
      </w:r>
    </w:p>
    <w:p>
      <w:pPr>
        <w:spacing w:line="570" w:lineRule="exact"/>
        <w:jc w:val="center"/>
        <w:rPr>
          <w:rFonts w:ascii="黑体" w:hAnsi="黑体" w:eastAsia="黑体" w:cs="黑体"/>
          <w:szCs w:val="32"/>
        </w:rPr>
      </w:pPr>
    </w:p>
    <w:p>
      <w:pPr>
        <w:spacing w:line="576" w:lineRule="exact"/>
        <w:ind w:firstLine="643" w:firstLineChars="200"/>
        <w:rPr>
          <w:rFonts w:ascii="仿宋" w:hAnsi="仿宋" w:eastAsia="仿宋" w:cs="仿宋_GB2312"/>
          <w:sz w:val="32"/>
          <w:szCs w:val="32"/>
        </w:rPr>
      </w:pPr>
      <w:r>
        <w:rPr>
          <w:rFonts w:hint="eastAsia" w:ascii="楷体" w:hAnsi="楷体" w:eastAsia="楷体" w:cs="楷体"/>
          <w:b/>
          <w:bCs/>
          <w:sz w:val="32"/>
          <w:szCs w:val="32"/>
        </w:rPr>
        <w:t>第一条</w:t>
      </w: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为进一步加强本院队伍管理工作，促进本院管理工作的科学化、规范化、制度化，充分调动全体干警工作的积极性、主动性、创造性，推动法院工作优质高效、可持续发展，根据《中华人民共和国公务员法》《中华人民共和国法官法》等相关规定，结合本院实际，制定本办法。</w:t>
      </w:r>
    </w:p>
    <w:p>
      <w:pPr>
        <w:spacing w:line="576" w:lineRule="exact"/>
        <w:ind w:firstLine="643" w:firstLineChars="200"/>
        <w:rPr>
          <w:rFonts w:ascii="仿宋" w:hAnsi="仿宋" w:eastAsia="仿宋" w:cs="仿宋_GB2312"/>
          <w:sz w:val="32"/>
          <w:szCs w:val="32"/>
        </w:rPr>
      </w:pPr>
      <w:r>
        <w:rPr>
          <w:rFonts w:hint="eastAsia" w:ascii="楷体" w:hAnsi="楷体" w:eastAsia="楷体" w:cs="楷体"/>
          <w:b/>
          <w:bCs/>
          <w:sz w:val="32"/>
          <w:szCs w:val="32"/>
        </w:rPr>
        <w:t>第二条</w:t>
      </w: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本院成立绩效考核工作领导小组，院主要领导为组长，其他院领导为副组长，考核成员单位负责人为小组成员。</w:t>
      </w:r>
    </w:p>
    <w:p>
      <w:pPr>
        <w:spacing w:line="576" w:lineRule="exact"/>
        <w:ind w:firstLine="643" w:firstLineChars="200"/>
        <w:rPr>
          <w:rFonts w:ascii="仿宋" w:hAnsi="仿宋" w:eastAsia="仿宋" w:cs="仿宋_GB2312"/>
          <w:sz w:val="32"/>
          <w:szCs w:val="32"/>
        </w:rPr>
      </w:pPr>
      <w:r>
        <w:rPr>
          <w:rFonts w:hint="eastAsia" w:ascii="楷体" w:hAnsi="楷体" w:eastAsia="楷体" w:cs="楷体"/>
          <w:b/>
          <w:bCs/>
          <w:sz w:val="32"/>
          <w:szCs w:val="32"/>
        </w:rPr>
        <w:t xml:space="preserve">第三条  </w:t>
      </w:r>
      <w:r>
        <w:rPr>
          <w:rFonts w:hint="eastAsia" w:ascii="仿宋" w:hAnsi="仿宋" w:eastAsia="仿宋" w:cs="仿宋_GB2312"/>
          <w:sz w:val="32"/>
          <w:szCs w:val="32"/>
        </w:rPr>
        <w:t>绩效考核工作领导小组主要履行以下职责：</w:t>
      </w:r>
    </w:p>
    <w:p>
      <w:pPr>
        <w:spacing w:line="576" w:lineRule="exact"/>
        <w:ind w:firstLine="640" w:firstLineChars="200"/>
        <w:rPr>
          <w:rFonts w:ascii="仿宋" w:hAnsi="仿宋" w:eastAsia="仿宋" w:cs="仿宋_GB2312"/>
          <w:b/>
          <w:color w:val="C00000"/>
          <w:sz w:val="32"/>
          <w:szCs w:val="32"/>
        </w:rPr>
      </w:pPr>
      <w:r>
        <w:rPr>
          <w:rFonts w:hint="eastAsia" w:ascii="仿宋" w:hAnsi="仿宋" w:eastAsia="仿宋" w:cs="仿宋_GB2312"/>
          <w:sz w:val="32"/>
          <w:szCs w:val="32"/>
        </w:rPr>
        <w:t>（一）制定考核工作制度；</w:t>
      </w:r>
    </w:p>
    <w:p>
      <w:pPr>
        <w:spacing w:line="576"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（二）部署本院的绩效考核工作； </w:t>
      </w:r>
    </w:p>
    <w:p>
      <w:pPr>
        <w:spacing w:line="576"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（三）决定</w:t>
      </w:r>
      <w:r>
        <w:rPr>
          <w:rFonts w:hint="eastAsia" w:ascii="仿宋" w:hAnsi="仿宋" w:eastAsia="仿宋" w:cs="仿宋_GB2312"/>
          <w:sz w:val="32"/>
          <w:szCs w:val="32"/>
        </w:rPr>
        <w:t>考核结果；</w:t>
      </w:r>
    </w:p>
    <w:p>
      <w:pPr>
        <w:spacing w:line="576"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（四）处理不服考核结果的异议和申诉；</w:t>
      </w:r>
    </w:p>
    <w:p>
      <w:pPr>
        <w:spacing w:line="576"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（五）研究决定考核奖惩事项；</w:t>
      </w:r>
    </w:p>
    <w:p>
      <w:pPr>
        <w:spacing w:line="576"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（六）研究决定其他考核事项。</w:t>
      </w:r>
    </w:p>
    <w:p>
      <w:pPr>
        <w:pStyle w:val="5"/>
        <w:spacing w:before="0" w:beforeAutospacing="0" w:after="0" w:afterAutospacing="0" w:line="570" w:lineRule="exact"/>
        <w:ind w:firstLine="643" w:firstLineChars="200"/>
        <w:jc w:val="both"/>
        <w:rPr>
          <w:rFonts w:ascii="仿宋" w:hAnsi="仿宋" w:eastAsia="仿宋" w:cs="仿宋_GB2312"/>
          <w:b/>
          <w:color w:val="C00000"/>
          <w:kern w:val="2"/>
          <w:sz w:val="32"/>
          <w:szCs w:val="32"/>
          <w:u w:val="single"/>
        </w:rPr>
      </w:pPr>
      <w:r>
        <w:rPr>
          <w:rFonts w:hint="eastAsia" w:ascii="楷体" w:hAnsi="楷体" w:eastAsia="楷体" w:cs="楷体"/>
          <w:b/>
          <w:bCs/>
          <w:sz w:val="32"/>
          <w:szCs w:val="32"/>
        </w:rPr>
        <w:t>第四条</w:t>
      </w:r>
      <w:r>
        <w:rPr>
          <w:rFonts w:hint="eastAsia" w:ascii="仿宋_GB2312" w:hAnsi="仿宋_GB2312" w:eastAsia="仿宋_GB2312" w:cs="仿宋_GB2312"/>
          <w:sz w:val="32"/>
          <w:szCs w:val="32"/>
        </w:rPr>
        <w:t xml:space="preserve">  </w:t>
      </w:r>
      <w:r>
        <w:rPr>
          <w:rFonts w:hint="eastAsia" w:ascii="仿宋" w:hAnsi="仿宋" w:eastAsia="仿宋" w:cs="仿宋_GB2312"/>
          <w:kern w:val="2"/>
          <w:sz w:val="32"/>
          <w:szCs w:val="32"/>
        </w:rPr>
        <w:t>绩效考核工作领导小组办公室设在政治部（督察室）（以下简称“考核办”），负责日常考核工作</w:t>
      </w:r>
      <w:r>
        <w:rPr>
          <w:rFonts w:ascii="仿宋" w:hAnsi="仿宋" w:eastAsia="仿宋" w:cs="仿宋_GB2312"/>
          <w:kern w:val="2"/>
          <w:sz w:val="32"/>
          <w:szCs w:val="32"/>
        </w:rPr>
        <w:t>.</w:t>
      </w:r>
    </w:p>
    <w:p>
      <w:pPr>
        <w:pStyle w:val="5"/>
        <w:spacing w:before="0" w:beforeAutospacing="0" w:after="0" w:afterAutospacing="0" w:line="570" w:lineRule="exact"/>
        <w:ind w:firstLine="643" w:firstLineChars="200"/>
        <w:jc w:val="both"/>
        <w:rPr>
          <w:rFonts w:ascii="仿宋_GB2312" w:hAnsi="仿宋_GB2312" w:eastAsia="仿宋_GB2312" w:cs="仿宋_GB2312"/>
          <w:sz w:val="32"/>
          <w:szCs w:val="32"/>
        </w:rPr>
      </w:pPr>
      <w:r>
        <w:rPr>
          <w:rFonts w:hint="eastAsia" w:ascii="楷体" w:hAnsi="楷体" w:eastAsia="楷体" w:cs="楷体"/>
          <w:b/>
          <w:bCs/>
          <w:sz w:val="32"/>
          <w:szCs w:val="32"/>
        </w:rPr>
        <w:t>第五条</w:t>
      </w: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考核办主要履行以下职责：</w:t>
      </w:r>
    </w:p>
    <w:p>
      <w:pPr>
        <w:pStyle w:val="5"/>
        <w:numPr>
          <w:ilvl w:val="0"/>
          <w:numId w:val="2"/>
        </w:numPr>
        <w:spacing w:before="0" w:beforeAutospacing="0" w:after="0" w:afterAutospacing="0" w:line="57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协调组织本院相关部门迎接</w:t>
      </w:r>
      <w:r>
        <w:rPr>
          <w:rFonts w:hint="eastAsia" w:ascii="仿宋" w:hAnsi="仿宋" w:eastAsia="仿宋" w:cs="宋体"/>
          <w:sz w:val="32"/>
          <w:szCs w:val="32"/>
        </w:rPr>
        <w:t>市中院</w:t>
      </w:r>
      <w:r>
        <w:rPr>
          <w:rFonts w:hint="eastAsia" w:ascii="仿宋" w:hAnsi="仿宋" w:eastAsia="仿宋" w:cs="仿宋_GB2312"/>
          <w:sz w:val="32"/>
          <w:szCs w:val="32"/>
        </w:rPr>
        <w:t>对本院考核工作；</w:t>
      </w:r>
    </w:p>
    <w:p>
      <w:pPr>
        <w:pStyle w:val="5"/>
        <w:numPr>
          <w:ilvl w:val="0"/>
          <w:numId w:val="2"/>
        </w:numPr>
        <w:spacing w:before="0" w:beforeAutospacing="0" w:after="0" w:afterAutospacing="0" w:line="57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协调组织各考核成员单位，提出本院绩效考核共性指标；</w:t>
      </w:r>
    </w:p>
    <w:p>
      <w:pPr>
        <w:pStyle w:val="5"/>
        <w:numPr>
          <w:ilvl w:val="0"/>
          <w:numId w:val="2"/>
        </w:numPr>
        <w:spacing w:before="0" w:beforeAutospacing="0" w:after="0" w:afterAutospacing="0" w:line="57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组织</w:t>
      </w:r>
      <w:r>
        <w:rPr>
          <w:rFonts w:hint="eastAsia" w:ascii="仿宋" w:hAnsi="仿宋" w:eastAsia="仿宋" w:cs="宋体"/>
          <w:sz w:val="32"/>
          <w:szCs w:val="32"/>
        </w:rPr>
        <w:t>开展</w:t>
      </w:r>
      <w:r>
        <w:rPr>
          <w:rFonts w:hint="eastAsia" w:ascii="仿宋" w:hAnsi="仿宋" w:eastAsia="仿宋" w:cs="仿宋_GB2312"/>
          <w:sz w:val="32"/>
          <w:szCs w:val="32"/>
        </w:rPr>
        <w:t>本院绩效考核工作；</w:t>
      </w:r>
    </w:p>
    <w:p>
      <w:pPr>
        <w:pStyle w:val="5"/>
        <w:numPr>
          <w:ilvl w:val="0"/>
          <w:numId w:val="2"/>
        </w:numPr>
        <w:spacing w:before="0" w:beforeAutospacing="0" w:after="0" w:afterAutospacing="0" w:line="57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督促检查本院各部门绩效考核指标完成情况；</w:t>
      </w:r>
    </w:p>
    <w:p>
      <w:pPr>
        <w:pStyle w:val="5"/>
        <w:numPr>
          <w:ilvl w:val="0"/>
          <w:numId w:val="2"/>
        </w:numPr>
        <w:spacing w:before="0" w:beforeAutospacing="0" w:after="0" w:afterAutospacing="0" w:line="57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提出本院各部门和所属工作人员考核等次建议；</w:t>
      </w:r>
    </w:p>
    <w:p>
      <w:pPr>
        <w:pStyle w:val="5"/>
        <w:numPr>
          <w:ilvl w:val="0"/>
          <w:numId w:val="2"/>
        </w:numPr>
        <w:spacing w:before="0" w:beforeAutospacing="0" w:after="0" w:afterAutospacing="0" w:line="57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协调解决考核工作中的具体问题；</w:t>
      </w:r>
    </w:p>
    <w:p>
      <w:pPr>
        <w:pStyle w:val="5"/>
        <w:numPr>
          <w:ilvl w:val="0"/>
          <w:numId w:val="2"/>
        </w:numPr>
        <w:spacing w:before="0" w:beforeAutospacing="0" w:after="0" w:afterAutospacing="0" w:line="57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完成市中院绩效考核领导小组办公室部署的相关工作；</w:t>
      </w:r>
    </w:p>
    <w:p>
      <w:pPr>
        <w:pStyle w:val="5"/>
        <w:numPr>
          <w:ilvl w:val="0"/>
          <w:numId w:val="2"/>
        </w:numPr>
        <w:spacing w:before="0" w:beforeAutospacing="0" w:after="0" w:afterAutospacing="0" w:line="57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完成绩效考核工作领导小组交办的其他事情。</w:t>
      </w:r>
    </w:p>
    <w:p>
      <w:pPr>
        <w:pStyle w:val="5"/>
        <w:spacing w:before="0" w:beforeAutospacing="0" w:after="0" w:afterAutospacing="0" w:line="570" w:lineRule="exact"/>
        <w:ind w:firstLine="643" w:firstLineChars="200"/>
        <w:jc w:val="both"/>
        <w:rPr>
          <w:rFonts w:ascii="仿宋" w:hAnsi="仿宋" w:eastAsia="仿宋" w:cs="仿宋_GB2312"/>
          <w:sz w:val="32"/>
          <w:szCs w:val="32"/>
        </w:rPr>
      </w:pPr>
      <w:r>
        <w:rPr>
          <w:rFonts w:hint="eastAsia" w:ascii="楷体" w:hAnsi="楷体" w:eastAsia="楷体" w:cs="楷体"/>
          <w:b/>
          <w:bCs/>
          <w:sz w:val="32"/>
          <w:szCs w:val="32"/>
        </w:rPr>
        <w:t xml:space="preserve">第六条  </w:t>
      </w:r>
      <w:r>
        <w:rPr>
          <w:rFonts w:hint="eastAsia" w:ascii="仿宋" w:hAnsi="仿宋" w:eastAsia="仿宋" w:cs="仿宋_GB2312"/>
          <w:sz w:val="32"/>
          <w:szCs w:val="32"/>
        </w:rPr>
        <w:t>考核办设若干成员单位，包括综合办公室、审判管理办公室（研究室）、政治部（督察室）、机关党委、等职能部门，分别负责职责范围内具体考核指标的拟定以及考核项目的审核、计分、汇总和数据上报等工作，考核数据统一纳入年度考核指标汇总；各考核成员单位应指派专人负责考核事务。</w:t>
      </w:r>
    </w:p>
    <w:p>
      <w:pPr>
        <w:pStyle w:val="5"/>
        <w:spacing w:before="0" w:beforeAutospacing="0" w:after="0" w:afterAutospacing="0" w:line="57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考核成员单位根据考核指标的设定实行动态调整；本院各部门可根据考核工作需要申报考核指标，指标经绩效考核工作领导小组审议通过后，申报的指标纳入考核指标，该部门设为考核成员单位。</w:t>
      </w:r>
    </w:p>
    <w:p>
      <w:pPr>
        <w:pStyle w:val="5"/>
        <w:spacing w:before="0" w:beforeAutospacing="0" w:after="0" w:afterAutospacing="0" w:line="570" w:lineRule="exact"/>
        <w:ind w:firstLine="643" w:firstLineChars="200"/>
        <w:jc w:val="both"/>
        <w:rPr>
          <w:rFonts w:ascii="仿宋" w:hAnsi="仿宋" w:eastAsia="仿宋" w:cs="仿宋_GB2312"/>
          <w:sz w:val="32"/>
          <w:szCs w:val="32"/>
        </w:rPr>
      </w:pPr>
      <w:r>
        <w:rPr>
          <w:rFonts w:hint="eastAsia" w:ascii="楷体" w:hAnsi="楷体" w:eastAsia="楷体" w:cs="楷体"/>
          <w:b/>
          <w:bCs/>
          <w:sz w:val="32"/>
          <w:szCs w:val="32"/>
        </w:rPr>
        <w:t>第七条</w:t>
      </w: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个人考核按部门负责人（含主持工作的副职）和其他工作人员分别进行。</w:t>
      </w:r>
    </w:p>
    <w:p>
      <w:pPr>
        <w:spacing w:line="570" w:lineRule="exact"/>
        <w:jc w:val="center"/>
        <w:rPr>
          <w:rFonts w:ascii="仿宋_GB2312" w:hAnsi="仿宋_GB2312" w:eastAsia="仿宋_GB2312" w:cs="仿宋_GB2312"/>
          <w:sz w:val="32"/>
          <w:szCs w:val="32"/>
        </w:rPr>
      </w:pPr>
    </w:p>
    <w:p>
      <w:pPr>
        <w:numPr>
          <w:ilvl w:val="0"/>
          <w:numId w:val="3"/>
        </w:numPr>
        <w:spacing w:line="570" w:lineRule="exact"/>
        <w:jc w:val="center"/>
        <w:rPr>
          <w:rFonts w:ascii="黑体" w:hAnsi="黑体" w:eastAsia="黑体" w:cs="黑体"/>
          <w:sz w:val="32"/>
          <w:szCs w:val="32"/>
        </w:rPr>
      </w:pPr>
      <w:r>
        <w:rPr>
          <w:rFonts w:hint="eastAsia" w:ascii="黑体" w:hAnsi="黑体" w:eastAsia="黑体" w:cs="黑体"/>
          <w:sz w:val="32"/>
          <w:szCs w:val="32"/>
        </w:rPr>
        <w:t xml:space="preserve"> 考核原则</w:t>
      </w:r>
    </w:p>
    <w:p>
      <w:pPr>
        <w:pStyle w:val="5"/>
        <w:spacing w:before="0" w:beforeAutospacing="0" w:after="0" w:afterAutospacing="0" w:line="570" w:lineRule="exact"/>
        <w:ind w:firstLine="640" w:firstLineChars="200"/>
        <w:jc w:val="both"/>
        <w:rPr>
          <w:rFonts w:ascii="仿宋_GB2312" w:hAnsi="仿宋_GB2312" w:eastAsia="仿宋_GB2312" w:cs="仿宋_GB2312"/>
          <w:sz w:val="32"/>
          <w:szCs w:val="32"/>
        </w:rPr>
      </w:pPr>
    </w:p>
    <w:p>
      <w:pPr>
        <w:pStyle w:val="5"/>
        <w:spacing w:before="0" w:beforeAutospacing="0" w:after="0" w:afterAutospacing="0" w:line="570" w:lineRule="exact"/>
        <w:ind w:firstLine="643" w:firstLineChars="200"/>
        <w:jc w:val="both"/>
        <w:rPr>
          <w:rFonts w:ascii="仿宋" w:hAnsi="仿宋" w:eastAsia="仿宋" w:cs="仿宋_GB2312"/>
          <w:sz w:val="32"/>
          <w:szCs w:val="32"/>
        </w:rPr>
      </w:pPr>
      <w:r>
        <w:rPr>
          <w:rFonts w:hint="eastAsia" w:ascii="楷体" w:hAnsi="楷体" w:eastAsia="楷体" w:cs="楷体"/>
          <w:b/>
          <w:bCs/>
          <w:sz w:val="32"/>
          <w:szCs w:val="32"/>
        </w:rPr>
        <w:t>第八条</w:t>
      </w: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考核工作坚持以提升工作质效为核心，以调动</w:t>
      </w:r>
      <w:r>
        <w:rPr>
          <w:rFonts w:hint="eastAsia" w:ascii="仿宋" w:hAnsi="仿宋" w:eastAsia="仿宋" w:cs="宋体"/>
          <w:sz w:val="32"/>
          <w:szCs w:val="32"/>
        </w:rPr>
        <w:t>全院干警</w:t>
      </w:r>
      <w:r>
        <w:rPr>
          <w:rFonts w:hint="eastAsia" w:ascii="仿宋" w:hAnsi="仿宋" w:eastAsia="仿宋" w:cs="仿宋_GB2312"/>
          <w:sz w:val="32"/>
          <w:szCs w:val="32"/>
        </w:rPr>
        <w:t>工作积极性为切入点，以</w:t>
      </w:r>
      <w:r>
        <w:rPr>
          <w:rFonts w:hint="eastAsia" w:ascii="仿宋" w:hAnsi="仿宋" w:eastAsia="仿宋"/>
          <w:sz w:val="32"/>
          <w:szCs w:val="32"/>
        </w:rPr>
        <w:t>客观公正、</w:t>
      </w:r>
      <w:r>
        <w:rPr>
          <w:rFonts w:hint="eastAsia" w:ascii="仿宋" w:hAnsi="仿宋" w:eastAsia="仿宋" w:cs="仿宋_GB2312"/>
          <w:sz w:val="32"/>
          <w:szCs w:val="32"/>
        </w:rPr>
        <w:t>有效管用、注重实绩、简便易行为原则，采取平时考核与年终考核相结合、定量考核与定性考核相结合、指标考核与民主评议相结合的方式进行。</w:t>
      </w:r>
    </w:p>
    <w:p>
      <w:pPr>
        <w:pStyle w:val="5"/>
        <w:spacing w:before="0" w:beforeAutospacing="0" w:after="0" w:afterAutospacing="0" w:line="570" w:lineRule="exact"/>
        <w:ind w:firstLine="643" w:firstLineChars="200"/>
        <w:jc w:val="both"/>
        <w:rPr>
          <w:rFonts w:ascii="仿宋_GB2312" w:hAnsi="仿宋_GB2312" w:eastAsia="仿宋_GB2312" w:cs="仿宋_GB2312"/>
          <w:sz w:val="32"/>
          <w:szCs w:val="32"/>
        </w:rPr>
      </w:pPr>
      <w:r>
        <w:rPr>
          <w:rFonts w:hint="eastAsia" w:ascii="楷体" w:hAnsi="楷体" w:eastAsia="楷体" w:cs="楷体"/>
          <w:b/>
          <w:bCs/>
          <w:sz w:val="32"/>
          <w:szCs w:val="32"/>
        </w:rPr>
        <w:t>第九条</w:t>
      </w: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考核的对象包括本院所有政法专项编制人员。</w:t>
      </w:r>
    </w:p>
    <w:p>
      <w:pPr>
        <w:pStyle w:val="5"/>
        <w:spacing w:before="0" w:beforeAutospacing="0" w:after="0" w:afterAutospacing="0" w:line="570" w:lineRule="exact"/>
        <w:ind w:firstLine="643" w:firstLineChars="200"/>
        <w:jc w:val="both"/>
        <w:rPr>
          <w:rFonts w:ascii="仿宋" w:hAnsi="仿宋" w:eastAsia="仿宋" w:cs="仿宋_GB2312"/>
          <w:b/>
          <w:color w:val="C00000"/>
          <w:sz w:val="32"/>
          <w:szCs w:val="32"/>
        </w:rPr>
      </w:pPr>
      <w:r>
        <w:rPr>
          <w:rFonts w:hint="eastAsia" w:ascii="楷体" w:hAnsi="楷体" w:eastAsia="楷体" w:cs="楷体"/>
          <w:b/>
          <w:bCs/>
          <w:sz w:val="32"/>
          <w:szCs w:val="32"/>
        </w:rPr>
        <w:t xml:space="preserve">第十条  </w:t>
      </w:r>
      <w:r>
        <w:rPr>
          <w:rFonts w:hint="eastAsia" w:ascii="仿宋" w:hAnsi="仿宋" w:eastAsia="仿宋" w:cs="仿宋_GB2312"/>
          <w:sz w:val="32"/>
          <w:szCs w:val="32"/>
        </w:rPr>
        <w:t>考核工作分两级管理、全面考核、综合评价。一级考核由考核办组织考核成员单位对部门进行考核；二级考核为部门负责人对部门所属工作人员进行考核</w:t>
      </w:r>
      <w:r>
        <w:rPr>
          <w:rFonts w:ascii="仿宋" w:hAnsi="仿宋" w:eastAsia="仿宋" w:cs="仿宋_GB2312"/>
          <w:sz w:val="32"/>
          <w:szCs w:val="32"/>
        </w:rPr>
        <w:t>.</w:t>
      </w:r>
    </w:p>
    <w:p>
      <w:pPr>
        <w:pStyle w:val="5"/>
        <w:spacing w:before="0" w:beforeAutospacing="0" w:after="0" w:afterAutospacing="0" w:line="570" w:lineRule="exact"/>
        <w:ind w:firstLine="643" w:firstLineChars="200"/>
        <w:jc w:val="both"/>
        <w:rPr>
          <w:rFonts w:ascii="仿宋" w:hAnsi="仿宋" w:eastAsia="仿宋" w:cs="仿宋_GB2312"/>
          <w:sz w:val="32"/>
          <w:szCs w:val="32"/>
        </w:rPr>
      </w:pPr>
      <w:r>
        <w:rPr>
          <w:rFonts w:hint="eastAsia" w:ascii="楷体" w:hAnsi="楷体" w:eastAsia="楷体" w:cs="楷体"/>
          <w:b/>
          <w:bCs/>
          <w:sz w:val="32"/>
          <w:szCs w:val="32"/>
        </w:rPr>
        <w:t>第十二条</w:t>
      </w: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年度绩效考核的数据提取统计一般截止日期至本年度12月31日。</w:t>
      </w:r>
    </w:p>
    <w:p>
      <w:pPr>
        <w:spacing w:line="570" w:lineRule="exact"/>
        <w:rPr>
          <w:rFonts w:ascii="仿宋_GB2312" w:hAnsi="仿宋_GB2312" w:eastAsia="仿宋_GB2312" w:cs="仿宋_GB2312"/>
          <w:sz w:val="32"/>
          <w:szCs w:val="32"/>
        </w:rPr>
      </w:pPr>
    </w:p>
    <w:p>
      <w:pPr>
        <w:numPr>
          <w:ilvl w:val="0"/>
          <w:numId w:val="3"/>
        </w:numPr>
        <w:spacing w:line="570" w:lineRule="exact"/>
        <w:jc w:val="center"/>
        <w:rPr>
          <w:rFonts w:ascii="黑体" w:hAnsi="黑体" w:eastAsia="黑体" w:cs="黑体"/>
          <w:sz w:val="32"/>
          <w:szCs w:val="32"/>
        </w:rPr>
      </w:pPr>
      <w:r>
        <w:rPr>
          <w:rFonts w:hint="eastAsia" w:ascii="黑体" w:hAnsi="黑体" w:eastAsia="黑体" w:cs="黑体"/>
          <w:sz w:val="32"/>
          <w:szCs w:val="32"/>
        </w:rPr>
        <w:t xml:space="preserve"> 部门考核</w:t>
      </w:r>
    </w:p>
    <w:p>
      <w:pPr>
        <w:spacing w:line="570" w:lineRule="exact"/>
        <w:rPr>
          <w:rFonts w:ascii="仿宋_GB2312" w:hAnsi="仿宋_GB2312" w:eastAsia="仿宋_GB2312" w:cs="仿宋_GB2312"/>
          <w:sz w:val="32"/>
          <w:szCs w:val="32"/>
        </w:rPr>
      </w:pPr>
    </w:p>
    <w:p>
      <w:pPr>
        <w:pStyle w:val="5"/>
        <w:spacing w:before="0" w:beforeAutospacing="0" w:after="0" w:afterAutospacing="0" w:line="570" w:lineRule="exact"/>
        <w:ind w:firstLine="643" w:firstLineChars="200"/>
        <w:jc w:val="both"/>
        <w:rPr>
          <w:rFonts w:ascii="仿宋" w:hAnsi="仿宋" w:eastAsia="仿宋" w:cs="仿宋_GB2312"/>
          <w:b/>
          <w:bCs/>
          <w:color w:val="C00000"/>
          <w:sz w:val="32"/>
          <w:szCs w:val="32"/>
          <w:u w:val="single"/>
        </w:rPr>
      </w:pPr>
      <w:r>
        <w:rPr>
          <w:rFonts w:hint="eastAsia" w:ascii="楷体" w:hAnsi="楷体" w:eastAsia="楷体" w:cs="楷体"/>
          <w:b/>
          <w:bCs/>
          <w:sz w:val="32"/>
          <w:szCs w:val="32"/>
        </w:rPr>
        <w:t>第十三条</w:t>
      </w: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部门考核按审判办案部门、执行办案部门和综合管理部门三大类别进行</w:t>
      </w:r>
      <w:r>
        <w:rPr>
          <w:rFonts w:ascii="仿宋" w:hAnsi="仿宋" w:eastAsia="仿宋" w:cs="仿宋_GB2312"/>
          <w:b/>
          <w:color w:val="C00000"/>
          <w:sz w:val="32"/>
          <w:szCs w:val="32"/>
          <w:u w:val="single"/>
        </w:rPr>
        <w:t>.</w:t>
      </w:r>
    </w:p>
    <w:p>
      <w:pPr>
        <w:spacing w:line="570" w:lineRule="exact"/>
        <w:ind w:firstLine="643" w:firstLineChars="200"/>
        <w:rPr>
          <w:rFonts w:ascii="仿宋" w:hAnsi="仿宋" w:eastAsia="仿宋" w:cs="仿宋_GB2312"/>
          <w:sz w:val="32"/>
          <w:szCs w:val="32"/>
        </w:rPr>
      </w:pPr>
      <w:r>
        <w:rPr>
          <w:rFonts w:hint="eastAsia" w:ascii="楷体" w:hAnsi="楷体" w:eastAsia="楷体" w:cs="楷体"/>
          <w:b/>
          <w:bCs/>
          <w:kern w:val="0"/>
          <w:sz w:val="32"/>
          <w:szCs w:val="32"/>
        </w:rPr>
        <w:t>第十四条</w:t>
      </w: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部门绩效考核基础分为100分，包括共性指标（20分）、业务指标（50分）、“精品工程”指标（12分）、综合评价（18分）四个部分。对获得重大表彰奖励的部门进行加分，加分标准由考核办会同相关考核成员单位根据工作需要拟定下达，累计加分以10分为限。</w:t>
      </w:r>
    </w:p>
    <w:p>
      <w:pPr>
        <w:spacing w:line="570" w:lineRule="exact"/>
        <w:ind w:firstLine="643" w:firstLineChars="200"/>
        <w:rPr>
          <w:rFonts w:ascii="仿宋" w:hAnsi="仿宋" w:eastAsia="仿宋" w:cs="仿宋_GB2312"/>
          <w:sz w:val="32"/>
          <w:szCs w:val="32"/>
        </w:rPr>
      </w:pPr>
      <w:r>
        <w:rPr>
          <w:rFonts w:hint="eastAsia" w:ascii="楷体" w:hAnsi="楷体" w:eastAsia="楷体" w:cs="楷体"/>
          <w:b/>
          <w:bCs/>
          <w:kern w:val="0"/>
          <w:sz w:val="32"/>
          <w:szCs w:val="32"/>
        </w:rPr>
        <w:t>第十五条</w:t>
      </w: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共性指标包括“全面从严治党”、“全面从严治院”两方面内容。“全面从严治党”包括部门（支部）党的建设、思想政治建设和意识形态工作、党风廉政建设和反腐败工作等内容。“全面从严治院</w:t>
      </w:r>
      <w:r>
        <w:rPr>
          <w:rFonts w:ascii="仿宋" w:hAnsi="仿宋" w:eastAsia="仿宋" w:cs="仿宋_GB2312"/>
          <w:sz w:val="32"/>
          <w:szCs w:val="32"/>
        </w:rPr>
        <w:t>”包括政务管理和队伍管理</w:t>
      </w:r>
      <w:r>
        <w:rPr>
          <w:rFonts w:hint="eastAsia" w:ascii="仿宋" w:hAnsi="仿宋" w:eastAsia="仿宋" w:cs="仿宋_GB2312"/>
          <w:sz w:val="32"/>
          <w:szCs w:val="32"/>
        </w:rPr>
        <w:t>。</w:t>
      </w:r>
      <w:r>
        <w:rPr>
          <w:rFonts w:ascii="仿宋" w:hAnsi="仿宋" w:eastAsia="仿宋" w:cs="仿宋_GB2312"/>
          <w:sz w:val="32"/>
          <w:szCs w:val="32"/>
        </w:rPr>
        <w:t>共性指标</w:t>
      </w:r>
      <w:r>
        <w:rPr>
          <w:rFonts w:hint="eastAsia" w:ascii="仿宋" w:hAnsi="仿宋" w:eastAsia="仿宋" w:cs="仿宋_GB2312"/>
          <w:sz w:val="32"/>
          <w:szCs w:val="32"/>
        </w:rPr>
        <w:t>由相关考核成员单位负责考核指标的制定下达，考核时实行减分制，2O分扣完为止。</w:t>
      </w:r>
    </w:p>
    <w:p>
      <w:pPr>
        <w:spacing w:line="570" w:lineRule="exact"/>
        <w:ind w:firstLine="643" w:firstLineChars="200"/>
        <w:rPr>
          <w:rFonts w:ascii="仿宋" w:hAnsi="仿宋" w:eastAsia="仿宋" w:cs="仿宋_GB2312"/>
          <w:sz w:val="32"/>
          <w:szCs w:val="32"/>
        </w:rPr>
      </w:pPr>
      <w:r>
        <w:rPr>
          <w:rFonts w:hint="eastAsia" w:ascii="楷体" w:hAnsi="楷体" w:eastAsia="楷体" w:cs="楷体"/>
          <w:b/>
          <w:bCs/>
          <w:kern w:val="0"/>
          <w:sz w:val="32"/>
          <w:szCs w:val="32"/>
        </w:rPr>
        <w:t>第十六条</w:t>
      </w: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审判办案部门业务指标(50分)，分别由审判管理办公室（研究室）负责考核，年终考核时核算出部门具体得分报送考核办汇总。</w:t>
      </w:r>
    </w:p>
    <w:p>
      <w:pPr>
        <w:spacing w:line="57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综合管理部门业务指标（50分）由考核办组织考核，考核时抽取相关人员组成考核组，对部门申报的业务指标完成情况逐项评价，重点查看全省、全区法院年度重点工作或专项工作、部门常规工作完成情况。</w:t>
      </w:r>
    </w:p>
    <w:p>
      <w:pPr>
        <w:spacing w:line="570" w:lineRule="exact"/>
        <w:ind w:firstLine="643" w:firstLineChars="200"/>
        <w:rPr>
          <w:rFonts w:ascii="仿宋" w:hAnsi="仿宋" w:eastAsia="仿宋" w:cs="仿宋_GB2312"/>
          <w:sz w:val="32"/>
          <w:szCs w:val="32"/>
        </w:rPr>
      </w:pPr>
      <w:r>
        <w:rPr>
          <w:rFonts w:hint="eastAsia" w:ascii="楷体" w:hAnsi="楷体" w:eastAsia="楷体" w:cs="楷体"/>
          <w:b/>
          <w:bCs/>
          <w:kern w:val="0"/>
          <w:sz w:val="32"/>
          <w:szCs w:val="32"/>
        </w:rPr>
        <w:t>第十七条</w:t>
      </w: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部门业务指标根据部门分类，采取不同的方式拟定。审判绩效考核指标由审判管理办公室（研究室）统一拟定下达。综合管理部门应召开全体工作人员会议，根据省委、白城市委、</w:t>
      </w:r>
      <w:r>
        <w:rPr>
          <w:rFonts w:hint="eastAsia" w:ascii="仿宋" w:hAnsi="仿宋" w:eastAsia="仿宋" w:cs="仿宋_GB2312"/>
          <w:sz w:val="32"/>
          <w:szCs w:val="32"/>
          <w:lang w:eastAsia="zh-CN"/>
        </w:rPr>
        <w:t>洮北区委</w:t>
      </w:r>
      <w:r>
        <w:rPr>
          <w:rFonts w:hint="eastAsia" w:ascii="仿宋" w:hAnsi="仿宋" w:eastAsia="仿宋" w:cs="仿宋_GB2312"/>
          <w:sz w:val="32"/>
          <w:szCs w:val="32"/>
        </w:rPr>
        <w:t>的部署安排和全省、全市法院年度重点工作，议定并申报部门年度业务指标，由分管院领导审签后报送考核办。填写年度业务指标申报表时要立足年度工作计划，突出工作重点，体现部门特色，工作名称应简短、概括性强，原则上不超过十项。</w:t>
      </w:r>
    </w:p>
    <w:p>
      <w:pPr>
        <w:spacing w:line="57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各部门业务指标拟定后，由考核办统一汇总提请考核工作领导小组审议，作为平时督导和年终考核的主要依据之一。</w:t>
      </w:r>
    </w:p>
    <w:p>
      <w:pPr>
        <w:spacing w:line="570" w:lineRule="exact"/>
        <w:ind w:firstLine="643" w:firstLineChars="200"/>
        <w:rPr>
          <w:rFonts w:ascii="仿宋" w:hAnsi="仿宋" w:eastAsia="仿宋" w:cs="仿宋_GB2312"/>
          <w:sz w:val="32"/>
          <w:szCs w:val="32"/>
        </w:rPr>
      </w:pPr>
      <w:r>
        <w:rPr>
          <w:rFonts w:hint="eastAsia" w:ascii="楷体" w:hAnsi="楷体" w:eastAsia="楷体" w:cs="楷体"/>
          <w:b/>
          <w:bCs/>
          <w:kern w:val="0"/>
          <w:sz w:val="32"/>
          <w:szCs w:val="32"/>
        </w:rPr>
        <w:t>第十八条</w:t>
      </w: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各部门要对上半年和全年绩效工作情况进行自查评估，自查评估报告包括共性指标、业务指标、“精品工程”指标完成情况，存在的主要问题及下步工作打算等内容。</w:t>
      </w:r>
    </w:p>
    <w:p>
      <w:pPr>
        <w:spacing w:line="570" w:lineRule="exact"/>
        <w:ind w:firstLine="643" w:firstLineChars="200"/>
        <w:rPr>
          <w:rFonts w:ascii="仿宋" w:hAnsi="仿宋" w:eastAsia="仿宋" w:cs="仿宋_GB2312"/>
          <w:sz w:val="32"/>
          <w:szCs w:val="32"/>
        </w:rPr>
      </w:pPr>
      <w:r>
        <w:rPr>
          <w:rFonts w:hint="eastAsia" w:ascii="楷体" w:hAnsi="楷体" w:eastAsia="楷体" w:cs="楷体"/>
          <w:b/>
          <w:bCs/>
          <w:kern w:val="0"/>
          <w:sz w:val="32"/>
          <w:szCs w:val="32"/>
        </w:rPr>
        <w:t xml:space="preserve">第十九条  </w:t>
      </w:r>
      <w:r>
        <w:rPr>
          <w:rFonts w:hint="eastAsia" w:ascii="仿宋" w:hAnsi="仿宋" w:eastAsia="仿宋" w:cs="仿宋_GB2312"/>
          <w:sz w:val="32"/>
          <w:szCs w:val="32"/>
        </w:rPr>
        <w:t>综合评价包括院领导评价（10分）和部门之间相互评价（8分），分别由全体院领导和各部门负责人采取无记名投票方式提出等次评价意见。</w:t>
      </w:r>
    </w:p>
    <w:p>
      <w:pPr>
        <w:spacing w:line="570" w:lineRule="exact"/>
        <w:ind w:firstLine="643" w:firstLineChars="200"/>
        <w:rPr>
          <w:rFonts w:ascii="仿宋_GB2312" w:hAnsi="仿宋_GB2312" w:eastAsia="仿宋_GB2312" w:cs="仿宋_GB2312"/>
          <w:color w:val="FF0000"/>
          <w:sz w:val="32"/>
          <w:szCs w:val="32"/>
        </w:rPr>
      </w:pPr>
      <w:r>
        <w:rPr>
          <w:rFonts w:hint="eastAsia" w:ascii="楷体" w:hAnsi="楷体" w:eastAsia="楷体" w:cs="楷体"/>
          <w:b/>
          <w:bCs/>
          <w:kern w:val="0"/>
          <w:sz w:val="32"/>
          <w:szCs w:val="32"/>
        </w:rPr>
        <w:t>第二十条</w:t>
      </w: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“精品工程”指标考核权重为12分，由审判管理办公室（研究室）进行综合评价。</w:t>
      </w:r>
    </w:p>
    <w:p>
      <w:pPr>
        <w:spacing w:line="570" w:lineRule="exact"/>
        <w:ind w:firstLine="643" w:firstLineChars="200"/>
        <w:rPr>
          <w:rFonts w:ascii="仿宋" w:hAnsi="仿宋" w:eastAsia="仿宋" w:cs="仿宋_GB2312"/>
          <w:sz w:val="32"/>
          <w:szCs w:val="32"/>
        </w:rPr>
      </w:pPr>
      <w:r>
        <w:rPr>
          <w:rFonts w:hint="eastAsia" w:ascii="楷体" w:hAnsi="楷体" w:eastAsia="楷体" w:cs="楷体"/>
          <w:b/>
          <w:bCs/>
          <w:kern w:val="0"/>
          <w:sz w:val="32"/>
          <w:szCs w:val="32"/>
        </w:rPr>
        <w:t xml:space="preserve">第二十一条  </w:t>
      </w:r>
      <w:r>
        <w:rPr>
          <w:rFonts w:hint="eastAsia" w:ascii="仿宋" w:hAnsi="仿宋" w:eastAsia="仿宋" w:cs="仿宋_GB2312"/>
          <w:sz w:val="32"/>
          <w:szCs w:val="32"/>
        </w:rPr>
        <w:t>年终考核时，考核办根据绩效考核工作领导小组的安排部署，组织各考核成员单位和各部门联络员，对照院机关共性指标、部门业务指标、“精品工程”指标逐项进行检查评定，组织部门综合评价考评，审核统计加分，汇总核算部门最后得分。</w:t>
      </w:r>
    </w:p>
    <w:p>
      <w:pPr>
        <w:spacing w:line="570" w:lineRule="exact"/>
        <w:ind w:firstLine="643" w:firstLineChars="200"/>
        <w:rPr>
          <w:rFonts w:ascii="仿宋" w:hAnsi="仿宋" w:eastAsia="仿宋" w:cs="仿宋_GB2312"/>
          <w:sz w:val="32"/>
          <w:szCs w:val="32"/>
        </w:rPr>
      </w:pPr>
      <w:r>
        <w:rPr>
          <w:rFonts w:hint="eastAsia" w:ascii="楷体" w:hAnsi="楷体" w:eastAsia="楷体" w:cs="楷体"/>
          <w:b/>
          <w:bCs/>
          <w:kern w:val="0"/>
          <w:sz w:val="32"/>
          <w:szCs w:val="32"/>
        </w:rPr>
        <w:t>第二十二条</w:t>
      </w: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部门及个人年度绩效考核按以下程序进行：</w:t>
      </w:r>
    </w:p>
    <w:p>
      <w:pPr>
        <w:spacing w:line="57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（一）考核成员单位反馈考核数据；</w:t>
      </w:r>
    </w:p>
    <w:p>
      <w:pPr>
        <w:spacing w:line="57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（二）部门及个人分别形成年度自查总结报告、个人工作总结；</w:t>
      </w:r>
    </w:p>
    <w:p>
      <w:pPr>
        <w:spacing w:line="57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（三）各部门述职及测评;</w:t>
      </w:r>
    </w:p>
    <w:p>
      <w:pPr>
        <w:spacing w:line="57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（四）根据考核数据和测评情况，形成年度考核意见，报考核工作领导小组审议;</w:t>
      </w:r>
    </w:p>
    <w:p>
      <w:pPr>
        <w:spacing w:line="57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（五）公布考核结果。</w:t>
      </w:r>
    </w:p>
    <w:p>
      <w:pPr>
        <w:spacing w:line="570" w:lineRule="exact"/>
        <w:ind w:firstLine="643" w:firstLineChars="200"/>
        <w:rPr>
          <w:rFonts w:ascii="仿宋" w:hAnsi="仿宋" w:eastAsia="仿宋" w:cs="仿宋_GB2312"/>
          <w:sz w:val="32"/>
          <w:szCs w:val="32"/>
        </w:rPr>
      </w:pPr>
      <w:r>
        <w:rPr>
          <w:rFonts w:hint="eastAsia" w:ascii="楷体" w:hAnsi="楷体" w:eastAsia="楷体" w:cs="楷体"/>
          <w:b/>
          <w:bCs/>
          <w:kern w:val="0"/>
          <w:sz w:val="32"/>
          <w:szCs w:val="32"/>
        </w:rPr>
        <w:t>第二十三条</w:t>
      </w: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各部门对照“精品工程”指标、加分标准，分类填写加分项目申报表报审判管理办公室（研究室）、政治部（督察室）、机关党委、综合办公室等对应部门进行审核并出具加分意见，原始证明材料要一并提供，材料要真实，项目要明确，所加分值直接计入部门年度绩效考核得分，同时作为个人考核重要评价依据反馈各部门。</w:t>
      </w:r>
    </w:p>
    <w:p>
      <w:pPr>
        <w:spacing w:line="570" w:lineRule="exact"/>
        <w:ind w:firstLine="643" w:firstLineChars="200"/>
        <w:rPr>
          <w:rFonts w:ascii="仿宋" w:hAnsi="仿宋" w:eastAsia="仿宋" w:cs="仿宋_GB2312"/>
          <w:sz w:val="32"/>
          <w:szCs w:val="32"/>
        </w:rPr>
      </w:pPr>
      <w:r>
        <w:rPr>
          <w:rFonts w:hint="eastAsia" w:ascii="楷体" w:hAnsi="楷体" w:eastAsia="楷体" w:cs="楷体"/>
          <w:b/>
          <w:bCs/>
          <w:kern w:val="0"/>
          <w:sz w:val="32"/>
          <w:szCs w:val="32"/>
        </w:rPr>
        <w:t>第二十四条</w:t>
      </w: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部门年度考核分为优秀、合格、基本合格、不合格四个等次。</w:t>
      </w:r>
    </w:p>
    <w:p>
      <w:pPr>
        <w:spacing w:line="570" w:lineRule="exact"/>
        <w:ind w:firstLine="643" w:firstLineChars="200"/>
        <w:rPr>
          <w:rFonts w:ascii="仿宋" w:hAnsi="仿宋" w:eastAsia="仿宋" w:cs="仿宋_GB2312"/>
          <w:sz w:val="32"/>
          <w:szCs w:val="32"/>
        </w:rPr>
      </w:pPr>
      <w:r>
        <w:rPr>
          <w:rFonts w:hint="eastAsia" w:ascii="楷体" w:hAnsi="楷体" w:eastAsia="楷体" w:cs="楷体"/>
          <w:b/>
          <w:bCs/>
          <w:kern w:val="0"/>
          <w:sz w:val="32"/>
          <w:szCs w:val="32"/>
        </w:rPr>
        <w:t>第二十五条</w:t>
      </w: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部门年度考核结果，分别根据审判执行办案部门、综合管理部门得分排名情况，按照20%左右比例确定年度绩效考核优秀部门。绩效考核工作领导小组可根据部门工作性质和考核实际需要，适当调整部门分类和优秀比例。</w:t>
      </w:r>
    </w:p>
    <w:p>
      <w:pPr>
        <w:spacing w:line="570" w:lineRule="exact"/>
        <w:ind w:firstLine="643" w:firstLineChars="200"/>
        <w:rPr>
          <w:rFonts w:ascii="仿宋" w:hAnsi="仿宋" w:eastAsia="仿宋" w:cs="仿宋_GB2312"/>
          <w:sz w:val="32"/>
          <w:szCs w:val="32"/>
        </w:rPr>
      </w:pPr>
      <w:r>
        <w:rPr>
          <w:rFonts w:hint="eastAsia" w:ascii="楷体" w:hAnsi="楷体" w:eastAsia="楷体" w:cs="楷体"/>
          <w:b/>
          <w:bCs/>
          <w:kern w:val="0"/>
          <w:sz w:val="32"/>
          <w:szCs w:val="32"/>
        </w:rPr>
        <w:t>第二十六条</w:t>
      </w: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工作人员受党纪政务处分的，所在部门年度考核不能被评为优秀。</w:t>
      </w:r>
    </w:p>
    <w:p>
      <w:pPr>
        <w:spacing w:line="57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工作人员被追究刑事责任或者二人以上受到党纪政务处分的，所在部门年度绩效考核应酌情定为基本合格以下等次，但受追究违法违纪行为发生时责任人不在考核部门的除外。</w:t>
      </w:r>
    </w:p>
    <w:p>
      <w:pPr>
        <w:spacing w:line="570" w:lineRule="exact"/>
        <w:ind w:firstLine="643" w:firstLineChars="200"/>
        <w:rPr>
          <w:rFonts w:ascii="仿宋" w:hAnsi="仿宋" w:eastAsia="仿宋" w:cs="仿宋_GB2312"/>
          <w:sz w:val="32"/>
          <w:szCs w:val="32"/>
        </w:rPr>
      </w:pPr>
      <w:r>
        <w:rPr>
          <w:rFonts w:hint="eastAsia" w:ascii="楷体" w:hAnsi="楷体" w:eastAsia="楷体" w:cs="楷体"/>
          <w:b/>
          <w:bCs/>
          <w:kern w:val="0"/>
          <w:sz w:val="32"/>
          <w:szCs w:val="32"/>
        </w:rPr>
        <w:t>第二十七条</w:t>
      </w: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部门年度考核为合格以上等次的，部门个人年度优秀等次比例不超过部门参加考核人数(不含部门负责人)的18%;部门年度考核为基本合格以下等次的，个人优秀等次比例不超过部门参加考核人数的15%。对个别表现特别突出的人员进行优秀评定时可不占用部门既定优秀名额。</w:t>
      </w:r>
    </w:p>
    <w:p>
      <w:pPr>
        <w:spacing w:line="570" w:lineRule="exact"/>
        <w:ind w:firstLine="643" w:firstLineChars="200"/>
        <w:rPr>
          <w:rFonts w:ascii="仿宋" w:hAnsi="仿宋" w:eastAsia="仿宋" w:cs="仿宋_GB2312"/>
          <w:sz w:val="32"/>
          <w:szCs w:val="32"/>
        </w:rPr>
      </w:pPr>
      <w:r>
        <w:rPr>
          <w:rFonts w:hint="eastAsia" w:ascii="楷体" w:hAnsi="楷体" w:eastAsia="楷体" w:cs="楷体"/>
          <w:b/>
          <w:bCs/>
          <w:kern w:val="0"/>
          <w:sz w:val="32"/>
          <w:szCs w:val="32"/>
        </w:rPr>
        <w:t xml:space="preserve">第二十八条  </w:t>
      </w:r>
      <w:r>
        <w:rPr>
          <w:rFonts w:hint="eastAsia" w:ascii="仿宋" w:hAnsi="仿宋" w:eastAsia="仿宋" w:cs="仿宋_GB2312"/>
          <w:sz w:val="32"/>
          <w:szCs w:val="32"/>
        </w:rPr>
        <w:t>部门负责人的公务员年度考核等次以所在部门绩效考核结果为重要依据，即部门年度绩效考核为优秀的，部门负责人公务员年度考核原则上为优秀;部门年度绩效考核为合格的，部门负责人公务员年度考核为称职;部门年度绩效考核为基本合格的，部门负责人公务员年度考核为基本称职；部门年度绩效考核为不合格的，部门负责人公务员年度考核为不称职。部门年度绩效考核为基本合格以下等次的，部门副职公务员年度考核亦不得评为优秀。</w:t>
      </w:r>
    </w:p>
    <w:p>
      <w:pPr>
        <w:spacing w:line="570" w:lineRule="exact"/>
        <w:jc w:val="center"/>
        <w:rPr>
          <w:rFonts w:ascii="仿宋_GB2312" w:hAnsi="仿宋_GB2312" w:eastAsia="仿宋_GB2312" w:cs="仿宋_GB2312"/>
          <w:sz w:val="32"/>
          <w:szCs w:val="32"/>
        </w:rPr>
      </w:pPr>
    </w:p>
    <w:p>
      <w:pPr>
        <w:spacing w:line="570" w:lineRule="exact"/>
        <w:jc w:val="center"/>
        <w:rPr>
          <w:rFonts w:ascii="黑体" w:hAnsi="黑体" w:eastAsia="黑体" w:cs="黑体"/>
          <w:sz w:val="32"/>
          <w:szCs w:val="32"/>
        </w:rPr>
      </w:pPr>
      <w:r>
        <w:rPr>
          <w:rFonts w:hint="eastAsia" w:ascii="黑体" w:hAnsi="黑体" w:eastAsia="黑体" w:cs="黑体"/>
          <w:sz w:val="32"/>
          <w:szCs w:val="32"/>
        </w:rPr>
        <w:t>第四章  个人考核</w:t>
      </w:r>
    </w:p>
    <w:p>
      <w:pPr>
        <w:spacing w:line="570" w:lineRule="exact"/>
        <w:ind w:firstLine="640" w:firstLineChars="200"/>
        <w:rPr>
          <w:rFonts w:ascii="仿宋_GB2312" w:hAnsi="仿宋_GB2312" w:eastAsia="仿宋_GB2312" w:cs="仿宋_GB2312"/>
          <w:sz w:val="32"/>
          <w:szCs w:val="32"/>
        </w:rPr>
      </w:pPr>
    </w:p>
    <w:p>
      <w:pPr>
        <w:spacing w:line="570" w:lineRule="exact"/>
        <w:ind w:firstLine="643" w:firstLineChars="200"/>
        <w:rPr>
          <w:rFonts w:ascii="仿宋" w:hAnsi="仿宋" w:eastAsia="仿宋" w:cs="仿宋_GB2312"/>
          <w:sz w:val="32"/>
          <w:szCs w:val="32"/>
        </w:rPr>
      </w:pPr>
      <w:r>
        <w:rPr>
          <w:rFonts w:hint="eastAsia" w:ascii="楷体" w:hAnsi="楷体" w:eastAsia="楷体" w:cs="楷体"/>
          <w:b/>
          <w:bCs/>
          <w:kern w:val="0"/>
          <w:sz w:val="32"/>
          <w:szCs w:val="32"/>
        </w:rPr>
        <w:t>第二十九条</w:t>
      </w: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个人考核与公务员平时考核、年度考核统筹开展，考核结果关联运用。个人考核按部门负责人（含主持工作的副职）和其他工作人员分别进行。</w:t>
      </w:r>
    </w:p>
    <w:p>
      <w:pPr>
        <w:spacing w:line="57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部门负责人考核由分管领导重点参考其分管部门绩效考核情况以及完成党委政府专项工作、全省法院年度重点工作、急难险重任务情况等进行综合评价。</w:t>
      </w:r>
    </w:p>
    <w:p>
      <w:pPr>
        <w:spacing w:line="57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部门工作人员考核由部门负责人按照公务员岗位的相关要求和个人绩效考核指标书组织进行，根据个人绩效考核指标书突出平时考核的基础作用，规范部门内部民主评议，强化年终考核评价的激励作用。</w:t>
      </w:r>
    </w:p>
    <w:p>
      <w:pPr>
        <w:spacing w:line="570" w:lineRule="exact"/>
        <w:ind w:firstLine="643" w:firstLineChars="200"/>
        <w:rPr>
          <w:rFonts w:ascii="仿宋" w:hAnsi="仿宋" w:eastAsia="仿宋" w:cs="仿宋_GB2312"/>
          <w:sz w:val="32"/>
          <w:szCs w:val="32"/>
        </w:rPr>
      </w:pPr>
      <w:r>
        <w:rPr>
          <w:rFonts w:hint="eastAsia" w:ascii="楷体" w:hAnsi="楷体" w:eastAsia="楷体" w:cs="楷体"/>
          <w:b/>
          <w:bCs/>
          <w:kern w:val="0"/>
          <w:sz w:val="32"/>
          <w:szCs w:val="32"/>
        </w:rPr>
        <w:t xml:space="preserve">第三十条  </w:t>
      </w:r>
      <w:r>
        <w:rPr>
          <w:rFonts w:hint="eastAsia" w:ascii="仿宋" w:hAnsi="仿宋" w:eastAsia="仿宋" w:cs="仿宋_GB2312"/>
          <w:sz w:val="32"/>
          <w:szCs w:val="32"/>
        </w:rPr>
        <w:t>平时考核结果分为好、较好、一般、较差4个等次。好等次人数原则上不超过参加平时考核总人数的40%。</w:t>
      </w:r>
    </w:p>
    <w:p>
      <w:pPr>
        <w:spacing w:line="57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（一）确定具体等次时可参考以下标准：</w:t>
      </w:r>
    </w:p>
    <w:p>
      <w:pPr>
        <w:spacing w:line="57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1.确定为好等次应具备：思想政治素质高；圆满完成年度工作任务，工作实绩突出；勤勉敬业；</w:t>
      </w:r>
    </w:p>
    <w:p>
      <w:pPr>
        <w:spacing w:line="57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2.确定为较好等次应具备：思想政治素质较高；业务熟练，工作能力较强；能够完成年度工作任务；责任心较强，有一定的工作业绩；工作作风较好，廉洁自律。</w:t>
      </w:r>
    </w:p>
    <w:p>
      <w:pPr>
        <w:spacing w:line="57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rPr>
        <w:t>3.具备其中一条确定为一般等次：思想政治素质一般；工作避重就轻，推诿懈怠;履职尽责能力较弱；责任心一般，工作消极或者工作作风方面存在明显不足；或者因主观原因，造成工作出现明显失误；面对群众诉求躲怕推</w:t>
      </w:r>
      <w:r>
        <w:rPr>
          <w:rFonts w:hint="eastAsia" w:ascii="仿宋" w:hAnsi="仿宋" w:eastAsia="仿宋" w:cs="仿宋_GB2312"/>
          <w:sz w:val="32"/>
          <w:szCs w:val="32"/>
          <w:lang w:eastAsia="zh-CN"/>
        </w:rPr>
        <w:t>。</w:t>
      </w:r>
    </w:p>
    <w:p>
      <w:pPr>
        <w:spacing w:line="57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rPr>
        <w:t>5.具备其中一条确定为较差等次:思想政治素质较差;不能按规定完成工作任务；责任心缺失，工作作风差；不能完成工作任务，或者在工作中因严重失误、失职造成重大损失或者恶劣社会影响；缺乏为民服务意识，被当事人和社会公众举报经查证属实的</w:t>
      </w:r>
      <w:r>
        <w:rPr>
          <w:rFonts w:hint="eastAsia" w:ascii="仿宋" w:hAnsi="仿宋" w:eastAsia="仿宋" w:cs="仿宋_GB2312"/>
          <w:sz w:val="32"/>
          <w:szCs w:val="32"/>
          <w:lang w:eastAsia="zh-CN"/>
        </w:rPr>
        <w:t>。</w:t>
      </w:r>
    </w:p>
    <w:p>
      <w:pPr>
        <w:spacing w:line="57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（二）个人在承担急难险重任务、处理复杂问题、应对重大考验，表现突出、有显著成绩和贡献的，当期平时考核结果可直接确认为好等次，并及时给予奖励。</w:t>
      </w:r>
    </w:p>
    <w:p>
      <w:pPr>
        <w:spacing w:line="57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（三）个人在重大关头、关键时刻不服从组织安排，或者推诿扯皮、敷衍塞责造成不良后果，当期平时考核结果可以直接确定为较差等次。</w:t>
      </w:r>
    </w:p>
    <w:p>
      <w:pPr>
        <w:spacing w:line="570" w:lineRule="exact"/>
        <w:ind w:firstLine="643" w:firstLineChars="200"/>
        <w:rPr>
          <w:rFonts w:ascii="仿宋" w:hAnsi="仿宋" w:eastAsia="仿宋" w:cs="仿宋_GB2312"/>
          <w:sz w:val="32"/>
          <w:szCs w:val="32"/>
        </w:rPr>
      </w:pPr>
      <w:r>
        <w:rPr>
          <w:rFonts w:hint="eastAsia" w:ascii="楷体" w:hAnsi="楷体" w:eastAsia="楷体" w:cs="楷体"/>
          <w:b/>
          <w:bCs/>
          <w:kern w:val="0"/>
          <w:sz w:val="32"/>
          <w:szCs w:val="32"/>
        </w:rPr>
        <w:t>第三十一条</w:t>
      </w: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评定个人绩效考核等次时应遵循司法规律，充分考虑不同工作岗位、不同类别人员的差异，实事求是做出综合评价。</w:t>
      </w:r>
    </w:p>
    <w:p>
      <w:pPr>
        <w:spacing w:line="570" w:lineRule="exact"/>
        <w:ind w:firstLine="640"/>
        <w:rPr>
          <w:rFonts w:ascii="仿宋" w:hAnsi="仿宋" w:eastAsia="仿宋" w:cs="仿宋_GB2312"/>
          <w:sz w:val="32"/>
          <w:szCs w:val="32"/>
        </w:rPr>
      </w:pPr>
      <w:r>
        <w:rPr>
          <w:rFonts w:hint="eastAsia" w:ascii="仿宋" w:hAnsi="仿宋" w:eastAsia="仿宋" w:cs="仿宋_GB2312"/>
          <w:sz w:val="32"/>
          <w:szCs w:val="32"/>
        </w:rPr>
        <w:t>（一）对员额法官坚持以人为本、公正客观、整体效能、规范严格、动态反馈为原则，以其岗位职责和所承担的工作任务为基本依据，通过设定办案绩效考核指标、共性指标等方式，全面考核德、能、勤、绩、廉各方面，重点考核政治素质和审判工作实绩。</w:t>
      </w:r>
    </w:p>
    <w:p>
      <w:pPr>
        <w:spacing w:line="570" w:lineRule="exact"/>
        <w:ind w:firstLine="640"/>
        <w:rPr>
          <w:rFonts w:ascii="仿宋" w:hAnsi="仿宋" w:eastAsia="仿宋" w:cs="仿宋_GB2312"/>
          <w:sz w:val="32"/>
          <w:szCs w:val="32"/>
        </w:rPr>
      </w:pPr>
      <w:r>
        <w:rPr>
          <w:rFonts w:hint="eastAsia" w:ascii="仿宋" w:hAnsi="仿宋" w:eastAsia="仿宋" w:cs="仿宋_GB2312"/>
          <w:sz w:val="32"/>
          <w:szCs w:val="32"/>
        </w:rPr>
        <w:t>（二）对审判辅助人员的考核以岗位职责和承担工作为主要依据，重点考核完成工作数量、质量、效率及工作成效等内容，兼顾所在团队或所协助法官的审判绩效，注重听取法官和所在团队意见。</w:t>
      </w:r>
    </w:p>
    <w:p>
      <w:pPr>
        <w:spacing w:line="57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（三）对司法行政人员的考核以工作性质和岗位职责为基本依据，重点考核完成日常工作任务、阶段性目标及重点工作的数量、质量、效率和效果。</w:t>
      </w:r>
    </w:p>
    <w:p>
      <w:pPr>
        <w:spacing w:line="570" w:lineRule="exact"/>
        <w:ind w:firstLine="643" w:firstLineChars="200"/>
        <w:rPr>
          <w:rFonts w:ascii="仿宋" w:hAnsi="仿宋" w:eastAsia="仿宋" w:cs="仿宋_GB2312"/>
          <w:sz w:val="32"/>
          <w:szCs w:val="32"/>
        </w:rPr>
      </w:pPr>
      <w:r>
        <w:rPr>
          <w:rFonts w:hint="eastAsia" w:ascii="楷体" w:hAnsi="楷体" w:eastAsia="楷体" w:cs="楷体"/>
          <w:b/>
          <w:bCs/>
          <w:kern w:val="0"/>
          <w:sz w:val="32"/>
          <w:szCs w:val="32"/>
        </w:rPr>
        <w:t>第三十二条</w:t>
      </w: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 xml:space="preserve"> 在年度考核中，员额法官办案工作量应达到以下标准：</w:t>
      </w:r>
    </w:p>
    <w:p>
      <w:pPr>
        <w:spacing w:line="57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（一）法官办案工作量达到所属审判执行业务部门人均办案工作量的80%，为完成年度办案工作量的基准值。</w:t>
      </w:r>
    </w:p>
    <w:p>
      <w:pPr>
        <w:spacing w:line="57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（二）审判执行业务部门负责人(包括主持工作的副职)办案工作量达到所属审判执行业务部门人均办案工作量的40%，为完成年度办案工作量的基准值。</w:t>
      </w:r>
    </w:p>
    <w:p>
      <w:pPr>
        <w:spacing w:line="57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（三）部门负责人同时担任审判委员会委员的，办案工作量达到所属审判执行业务类别法官人均办案工作量的32%，为完成年度办案工作量的基准值。</w:t>
      </w:r>
    </w:p>
    <w:p>
      <w:pPr>
        <w:spacing w:line="57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（四）审判执行业务部门副职办案工作量达到所属审判业务类别或审判执行业务部门法官人均办案工作量的64%，为完成年度办案工作量的基准值。</w:t>
      </w:r>
    </w:p>
    <w:p>
      <w:pPr>
        <w:spacing w:line="57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(五)处于法定哺乳期内的女法官办案工作量达到所属审判执行业务类别法官同期人均办案工作量的56%，为完成年度办案工作量的基准值。</w:t>
      </w:r>
    </w:p>
    <w:p>
      <w:pPr>
        <w:spacing w:line="57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(六)参加上级或同级部门组织的短期业务培训(不含远程教育及函授学习)、案件检查、会议等其他工作，累计时间超过1个月的，按实际时间核减年度办案工作量。</w:t>
      </w:r>
    </w:p>
    <w:p>
      <w:pPr>
        <w:spacing w:line="570" w:lineRule="exact"/>
        <w:ind w:firstLine="643" w:firstLineChars="200"/>
        <w:rPr>
          <w:rFonts w:ascii="仿宋" w:hAnsi="仿宋" w:eastAsia="仿宋" w:cs="仿宋_GB2312"/>
          <w:sz w:val="32"/>
          <w:szCs w:val="32"/>
        </w:rPr>
      </w:pPr>
      <w:r>
        <w:rPr>
          <w:rFonts w:hint="eastAsia" w:ascii="楷体" w:hAnsi="楷体" w:eastAsia="楷体" w:cs="楷体"/>
          <w:b/>
          <w:bCs/>
          <w:kern w:val="0"/>
          <w:sz w:val="32"/>
          <w:szCs w:val="32"/>
        </w:rPr>
        <w:t>第三十三条</w:t>
      </w: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审判执行办案部门法官应当完成年度办案工作量。法官常规受案数量不足，无法完成年度办案工作量的，应及时承办本合议庭、本部门其他案件。因特殊情况不能完成办案工作量的，由审判执行办案部门提出调整申请，经绩效考核工作领导小组审核批准。</w:t>
      </w:r>
    </w:p>
    <w:p>
      <w:pPr>
        <w:spacing w:line="57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绩效考核工作领导小组根据本院整体和各审判执行业务部门法官收结案实际数量等对各审判执行业务部门承办的案件进行动态调整，保证各审判办案部门法官年度办案工作量基本均衡。</w:t>
      </w:r>
    </w:p>
    <w:p>
      <w:pPr>
        <w:spacing w:line="570" w:lineRule="exact"/>
        <w:ind w:firstLine="643" w:firstLineChars="200"/>
        <w:rPr>
          <w:rFonts w:ascii="仿宋" w:hAnsi="仿宋" w:eastAsia="仿宋" w:cs="仿宋_GB2312"/>
          <w:sz w:val="32"/>
          <w:szCs w:val="32"/>
        </w:rPr>
      </w:pPr>
      <w:r>
        <w:rPr>
          <w:rFonts w:hint="eastAsia" w:ascii="楷体" w:hAnsi="楷体" w:eastAsia="楷体" w:cs="楷体"/>
          <w:b/>
          <w:bCs/>
          <w:kern w:val="0"/>
          <w:sz w:val="32"/>
          <w:szCs w:val="32"/>
        </w:rPr>
        <w:t>第三十四条</w:t>
      </w: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平时考核频次由绩效考核工作领导小组结合工作实际及相关部门要求确定。</w:t>
      </w:r>
    </w:p>
    <w:p>
      <w:pPr>
        <w:spacing w:line="570" w:lineRule="exact"/>
        <w:ind w:firstLine="643" w:firstLineChars="200"/>
        <w:rPr>
          <w:rFonts w:ascii="仿宋" w:hAnsi="仿宋" w:eastAsia="仿宋" w:cs="仿宋_GB2312"/>
          <w:sz w:val="32"/>
          <w:szCs w:val="32"/>
        </w:rPr>
      </w:pPr>
      <w:r>
        <w:rPr>
          <w:rFonts w:hint="eastAsia" w:ascii="楷体" w:hAnsi="楷体" w:eastAsia="楷体" w:cs="楷体"/>
          <w:b/>
          <w:bCs/>
          <w:kern w:val="0"/>
          <w:sz w:val="32"/>
          <w:szCs w:val="32"/>
        </w:rPr>
        <w:t>第三十五条</w:t>
      </w: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年终考核时，各部门负责人自行组织部门工作人员进行年度工作总结和民主评议，按照平时考核60分、年度民主评议40分，对部门工作人员个人绩效考核年度评分进行排序，按照规定比例报送个人年度考核等次，报送考核办汇总。</w:t>
      </w:r>
    </w:p>
    <w:p>
      <w:pPr>
        <w:spacing w:line="57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年终考核部门时，按审判执行办案部门和综合管理部门两大类别进行个别部门负责人述职及部门干警工作总结，分别由全体院领导和参加述职评议干警采取无记名投票方式进行评分，测评分值即为年度民主评议40分。</w:t>
      </w:r>
    </w:p>
    <w:p>
      <w:pPr>
        <w:spacing w:line="57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个人年度考核获评优秀等次的，应当从当年平时考核结果好等次较多且无一般、较差等次的人员中产生。当年平时考核结果均为好等次的，年度考核可以在规定比例内优先确定为优秀等次。当年平时考核结果一般、较差等次累计次数超过一半的，年度考核原则上应当确定为基本称职或者不称职等次。当年平时考核结果均为较差等次的，个人年度考核可以直接确定为不称职等次。</w:t>
      </w:r>
    </w:p>
    <w:p>
      <w:pPr>
        <w:spacing w:line="570" w:lineRule="exact"/>
        <w:ind w:firstLine="643" w:firstLineChars="200"/>
        <w:rPr>
          <w:rFonts w:ascii="仿宋" w:hAnsi="仿宋" w:eastAsia="仿宋" w:cs="仿宋_GB2312"/>
          <w:sz w:val="32"/>
          <w:szCs w:val="32"/>
        </w:rPr>
      </w:pPr>
      <w:r>
        <w:rPr>
          <w:rFonts w:hint="eastAsia" w:ascii="楷体" w:hAnsi="楷体" w:eastAsia="楷体" w:cs="楷体"/>
          <w:b/>
          <w:bCs/>
          <w:kern w:val="0"/>
          <w:sz w:val="32"/>
          <w:szCs w:val="32"/>
        </w:rPr>
        <w:t>第三十六条</w:t>
      </w: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在试用期内的新录用人员、调任或转任人员、挂职锻炼人员、公派学习和培训人员、参加专项工作人员、病假和事假超过6个月以及受党纪、行政调查或处分人员的考核，应按照《公务员考核规定》执行。</w:t>
      </w:r>
    </w:p>
    <w:p>
      <w:pPr>
        <w:spacing w:line="570" w:lineRule="exact"/>
        <w:jc w:val="center"/>
        <w:rPr>
          <w:rFonts w:ascii="仿宋_GB2312" w:hAnsi="仿宋_GB2312" w:eastAsia="仿宋_GB2312" w:cs="仿宋_GB2312"/>
          <w:sz w:val="32"/>
          <w:szCs w:val="32"/>
        </w:rPr>
      </w:pPr>
    </w:p>
    <w:p>
      <w:pPr>
        <w:numPr>
          <w:numId w:val="0"/>
        </w:numPr>
        <w:spacing w:line="570" w:lineRule="exact"/>
        <w:ind w:leftChars="0"/>
        <w:jc w:val="center"/>
        <w:rPr>
          <w:rFonts w:hint="eastAsia" w:ascii="黑体" w:hAnsi="黑体" w:eastAsia="黑体" w:cs="黑体"/>
          <w:sz w:val="32"/>
          <w:szCs w:val="32"/>
        </w:rPr>
      </w:pPr>
      <w:r>
        <w:rPr>
          <w:rFonts w:hint="eastAsia" w:ascii="黑体" w:hAnsi="黑体" w:eastAsia="黑体" w:cs="黑体"/>
          <w:sz w:val="32"/>
          <w:szCs w:val="32"/>
          <w:lang w:eastAsia="zh-CN"/>
        </w:rPr>
        <w:t>第五章</w:t>
      </w:r>
      <w:r>
        <w:rPr>
          <w:rFonts w:hint="eastAsia" w:ascii="黑体" w:hAnsi="黑体" w:eastAsia="黑体" w:cs="黑体"/>
          <w:sz w:val="32"/>
          <w:szCs w:val="32"/>
        </w:rPr>
        <w:t xml:space="preserve"> 结果运用</w:t>
      </w:r>
    </w:p>
    <w:p>
      <w:pPr>
        <w:numPr>
          <w:numId w:val="0"/>
        </w:numPr>
        <w:spacing w:line="570" w:lineRule="exact"/>
        <w:ind w:leftChars="0"/>
        <w:jc w:val="both"/>
        <w:rPr>
          <w:rFonts w:hint="eastAsia" w:ascii="黑体" w:hAnsi="黑体" w:eastAsia="黑体" w:cs="黑体"/>
          <w:sz w:val="32"/>
          <w:szCs w:val="32"/>
        </w:rPr>
      </w:pPr>
    </w:p>
    <w:p>
      <w:pPr>
        <w:spacing w:line="570" w:lineRule="exact"/>
        <w:ind w:firstLine="643" w:firstLineChars="200"/>
        <w:rPr>
          <w:rFonts w:ascii="仿宋" w:hAnsi="仿宋" w:eastAsia="仿宋" w:cs="仿宋_GB2312"/>
          <w:sz w:val="32"/>
          <w:szCs w:val="32"/>
        </w:rPr>
      </w:pPr>
      <w:r>
        <w:rPr>
          <w:rFonts w:hint="eastAsia" w:ascii="楷体" w:hAnsi="楷体" w:eastAsia="楷体" w:cs="楷体"/>
          <w:b/>
          <w:bCs/>
          <w:kern w:val="0"/>
          <w:sz w:val="32"/>
          <w:szCs w:val="32"/>
        </w:rPr>
        <w:t>第三十七条</w:t>
      </w: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个人绩效考核结果将作为公务员表彰奖励、职务调整、等级晋升、员额法官补选和退出等的重要依据。拟提拔使用的干部，近三年年度考核等次均应为称职以上。员额法官绩效考核结果为不称职或连续两年为基本称职的，应退出法官员额。</w:t>
      </w:r>
    </w:p>
    <w:p>
      <w:pPr>
        <w:spacing w:line="570" w:lineRule="exact"/>
        <w:ind w:firstLine="643" w:firstLineChars="200"/>
        <w:rPr>
          <w:rFonts w:ascii="仿宋" w:hAnsi="仿宋" w:eastAsia="仿宋" w:cs="仿宋_GB2312"/>
          <w:sz w:val="32"/>
          <w:szCs w:val="32"/>
        </w:rPr>
      </w:pPr>
      <w:r>
        <w:rPr>
          <w:rFonts w:hint="eastAsia" w:ascii="楷体" w:hAnsi="楷体" w:eastAsia="楷体" w:cs="楷体"/>
          <w:b/>
          <w:bCs/>
          <w:kern w:val="0"/>
          <w:sz w:val="32"/>
          <w:szCs w:val="32"/>
        </w:rPr>
        <w:t>第三十八条</w:t>
      </w:r>
      <w:r>
        <w:rPr>
          <w:rFonts w:hint="eastAsia" w:ascii="仿宋_GB2312" w:hAnsi="仿宋_GB2312" w:eastAsia="仿宋_GB2312" w:cs="仿宋_GB2312"/>
          <w:b/>
          <w:bCs/>
          <w:sz w:val="32"/>
          <w:szCs w:val="32"/>
        </w:rPr>
        <w:t xml:space="preserve">  </w:t>
      </w:r>
      <w:r>
        <w:rPr>
          <w:rFonts w:hint="eastAsia" w:ascii="仿宋" w:hAnsi="仿宋" w:eastAsia="仿宋" w:cs="仿宋_GB2312"/>
          <w:sz w:val="32"/>
          <w:szCs w:val="32"/>
        </w:rPr>
        <w:t>年度考核中，未完成部门年度绩效考核指标以及市中院的考核任务、受到通报批评、发生重大问题并在一定范围造成较大负面影响的，部门不得评为优秀部门，部门负责人和直接责任人均不得评为优秀等次。</w:t>
      </w:r>
    </w:p>
    <w:p>
      <w:pPr>
        <w:spacing w:line="570" w:lineRule="exact"/>
        <w:ind w:firstLine="643" w:firstLineChars="200"/>
        <w:rPr>
          <w:rFonts w:ascii="仿宋" w:hAnsi="仿宋" w:eastAsia="仿宋" w:cs="仿宋_GB2312"/>
          <w:sz w:val="32"/>
          <w:szCs w:val="32"/>
        </w:rPr>
      </w:pPr>
      <w:r>
        <w:rPr>
          <w:rFonts w:hint="eastAsia" w:ascii="楷体" w:hAnsi="楷体" w:eastAsia="楷体" w:cs="楷体"/>
          <w:b/>
          <w:bCs/>
          <w:kern w:val="0"/>
          <w:sz w:val="32"/>
          <w:szCs w:val="32"/>
        </w:rPr>
        <w:t>第三十九条</w:t>
      </w: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年度考核为基本合格以下的部门，部门负责人不得评为优秀等次，并由院长或分管院领导约谈该部门正副职，部门应在考核结果确定后1O日内提出整改方案，认真进行整改。</w:t>
      </w:r>
    </w:p>
    <w:p>
      <w:pPr>
        <w:spacing w:line="570" w:lineRule="exact"/>
        <w:ind w:firstLine="643" w:firstLineChars="200"/>
        <w:rPr>
          <w:rFonts w:ascii="仿宋" w:hAnsi="仿宋" w:eastAsia="仿宋" w:cs="仿宋_GB2312"/>
          <w:sz w:val="32"/>
          <w:szCs w:val="32"/>
        </w:rPr>
      </w:pPr>
      <w:r>
        <w:rPr>
          <w:rFonts w:hint="eastAsia" w:ascii="楷体" w:hAnsi="楷体" w:eastAsia="楷体" w:cs="楷体"/>
          <w:b/>
          <w:bCs/>
          <w:kern w:val="0"/>
          <w:sz w:val="32"/>
          <w:szCs w:val="32"/>
        </w:rPr>
        <w:t xml:space="preserve">第四十条  </w:t>
      </w:r>
      <w:r>
        <w:rPr>
          <w:rFonts w:hint="eastAsia" w:ascii="仿宋" w:hAnsi="仿宋" w:eastAsia="仿宋" w:cs="仿宋_GB2312"/>
          <w:sz w:val="32"/>
          <w:szCs w:val="32"/>
        </w:rPr>
        <w:t>平时考核结果为一般等次的人员，由部门负责人及时谈话提醒。平时考核结果为较差等次的人员，由部门负责人及时批评教育，创造条件帮助其整改；经批评教育仍不改正的，必要时报分管院领导对其进行诫勉。发现存在违纪违法问题的，按照有关纪律和法律法规处理。</w:t>
      </w:r>
    </w:p>
    <w:p>
      <w:pPr>
        <w:spacing w:line="570" w:lineRule="exact"/>
        <w:ind w:firstLine="643" w:firstLineChars="200"/>
        <w:rPr>
          <w:rFonts w:ascii="仿宋" w:hAnsi="仿宋" w:eastAsia="仿宋" w:cs="仿宋_GB2312"/>
          <w:sz w:val="32"/>
          <w:szCs w:val="32"/>
        </w:rPr>
      </w:pPr>
      <w:r>
        <w:rPr>
          <w:rFonts w:hint="eastAsia" w:ascii="楷体" w:hAnsi="楷体" w:eastAsia="楷体" w:cs="楷体"/>
          <w:b/>
          <w:bCs/>
          <w:kern w:val="0"/>
          <w:sz w:val="32"/>
          <w:szCs w:val="32"/>
        </w:rPr>
        <w:t>第四十一条</w:t>
      </w: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公务员年度考核被确定为基本称职等次的，对其诫勉谈话，责令作出书面检查，限期改进;本考核年度不计算为按年度考核结果晋升级别和级别工资档次的考核年限和晋升职务职级的任职年限，下一年内不得晋升职务职级；不享受年度绩效考核奖金；连续两年确定为基本称职等次的，予以组织调整或者组织处理。被确定为不称职等次的，本考核年度不计算为按年度考核结果晋升级别和级别工资档次的考核年限和晋升职务职级的任职年限；降低一个职务或者职级层次任职; 不享受年度考核奖金；连续两年年度考核被确定为不称职等次的，予以辞退。</w:t>
      </w:r>
    </w:p>
    <w:p>
      <w:pPr>
        <w:spacing w:line="570" w:lineRule="exact"/>
        <w:ind w:firstLine="643" w:firstLineChars="200"/>
        <w:rPr>
          <w:rFonts w:ascii="仿宋" w:hAnsi="仿宋" w:eastAsia="仿宋" w:cs="仿宋_GB2312"/>
          <w:sz w:val="32"/>
          <w:szCs w:val="32"/>
        </w:rPr>
      </w:pPr>
      <w:r>
        <w:rPr>
          <w:rFonts w:hint="eastAsia" w:ascii="楷体" w:hAnsi="楷体" w:eastAsia="楷体" w:cs="楷体"/>
          <w:b/>
          <w:bCs/>
          <w:kern w:val="0"/>
          <w:sz w:val="32"/>
          <w:szCs w:val="32"/>
        </w:rPr>
        <w:t xml:space="preserve">第四十二条 </w:t>
      </w:r>
      <w:r>
        <w:rPr>
          <w:rFonts w:hint="eastAsia" w:ascii="仿宋" w:hAnsi="仿宋" w:eastAsia="仿宋" w:cs="仿宋_GB2312"/>
          <w:sz w:val="32"/>
          <w:szCs w:val="32"/>
        </w:rPr>
        <w:t>考核办根据机关内部考核结果，提出本年度绩效考核奖金发放意见和优秀部门、优秀个人的奖励意见。</w:t>
      </w:r>
    </w:p>
    <w:p>
      <w:pPr>
        <w:spacing w:line="57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考核工作领导小组每年组织召开年度绩效考核表彰大会，对优秀部门和个人给予通报表彰。</w:t>
      </w:r>
    </w:p>
    <w:p>
      <w:pPr>
        <w:numPr>
          <w:ilvl w:val="0"/>
          <w:numId w:val="4"/>
        </w:numPr>
        <w:spacing w:line="570" w:lineRule="exact"/>
        <w:jc w:val="center"/>
        <w:rPr>
          <w:rFonts w:hint="eastAsia" w:ascii="黑体" w:hAnsi="黑体" w:eastAsia="黑体" w:cs="黑体"/>
          <w:sz w:val="32"/>
          <w:szCs w:val="32"/>
        </w:rPr>
      </w:pPr>
      <w:r>
        <w:rPr>
          <w:rFonts w:hint="eastAsia" w:ascii="黑体" w:hAnsi="黑体" w:eastAsia="黑体" w:cs="黑体"/>
          <w:sz w:val="32"/>
          <w:szCs w:val="32"/>
        </w:rPr>
        <w:t xml:space="preserve"> 纪律监督</w:t>
      </w:r>
    </w:p>
    <w:p>
      <w:pPr>
        <w:numPr>
          <w:numId w:val="0"/>
        </w:numPr>
        <w:spacing w:line="570" w:lineRule="exact"/>
        <w:jc w:val="both"/>
        <w:rPr>
          <w:rFonts w:hint="eastAsia" w:ascii="黑体" w:hAnsi="黑体" w:eastAsia="黑体" w:cs="黑体"/>
          <w:sz w:val="32"/>
          <w:szCs w:val="32"/>
        </w:rPr>
      </w:pPr>
    </w:p>
    <w:p>
      <w:pPr>
        <w:spacing w:line="570" w:lineRule="exact"/>
        <w:ind w:firstLine="643" w:firstLineChars="200"/>
        <w:rPr>
          <w:rFonts w:ascii="仿宋" w:hAnsi="仿宋" w:eastAsia="仿宋" w:cs="仿宋_GB2312"/>
          <w:sz w:val="32"/>
          <w:szCs w:val="32"/>
        </w:rPr>
      </w:pPr>
      <w:r>
        <w:rPr>
          <w:rFonts w:hint="eastAsia" w:ascii="楷体" w:hAnsi="楷体" w:eastAsia="楷体" w:cs="楷体"/>
          <w:b/>
          <w:bCs/>
          <w:kern w:val="0"/>
          <w:sz w:val="32"/>
          <w:szCs w:val="32"/>
        </w:rPr>
        <w:t>第四十三条</w:t>
      </w: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考核对象应当如实汇报工作情况，分析存在问题，自觉接受考核、评议和监督，不得在考核工作中弄虚作假，搞形式主义。</w:t>
      </w:r>
    </w:p>
    <w:p>
      <w:pPr>
        <w:spacing w:line="570" w:lineRule="exact"/>
        <w:ind w:firstLine="643" w:firstLineChars="200"/>
        <w:rPr>
          <w:rFonts w:ascii="仿宋" w:hAnsi="仿宋" w:eastAsia="仿宋" w:cs="仿宋_GB2312"/>
          <w:sz w:val="32"/>
          <w:szCs w:val="32"/>
        </w:rPr>
      </w:pPr>
      <w:r>
        <w:rPr>
          <w:rFonts w:hint="eastAsia" w:ascii="楷体" w:hAnsi="楷体" w:eastAsia="楷体" w:cs="楷体"/>
          <w:b/>
          <w:bCs/>
          <w:kern w:val="0"/>
          <w:sz w:val="32"/>
          <w:szCs w:val="32"/>
        </w:rPr>
        <w:t>第四十四条</w:t>
      </w: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 xml:space="preserve"> 考核成员单位应对考核对象作出客观、公正的评价，督察、机关党委、审判管理等部门应积极配合做好考核对象相关事项核查工作，自觉维护考核工作严肃性。</w:t>
      </w:r>
    </w:p>
    <w:p>
      <w:pPr>
        <w:spacing w:line="570" w:lineRule="exact"/>
        <w:ind w:firstLine="643" w:firstLineChars="200"/>
        <w:rPr>
          <w:rFonts w:ascii="仿宋_GB2312" w:hAnsi="仿宋_GB2312" w:eastAsia="仿宋_GB2312" w:cs="仿宋_GB2312"/>
          <w:sz w:val="32"/>
          <w:szCs w:val="32"/>
        </w:rPr>
      </w:pPr>
      <w:r>
        <w:rPr>
          <w:rFonts w:hint="eastAsia" w:ascii="楷体" w:hAnsi="楷体" w:eastAsia="楷体" w:cs="楷体"/>
          <w:b/>
          <w:bCs/>
          <w:kern w:val="0"/>
          <w:sz w:val="32"/>
          <w:szCs w:val="32"/>
        </w:rPr>
        <w:t>第四十五条</w:t>
      </w: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年度考核等次拟确定为优秀的个人，要在本院范围内公示，公示期不少于5个工作日。个人对考核结果有异议的，可通过所在部门向绩效考核工作领导小组提出申诉。</w:t>
      </w:r>
    </w:p>
    <w:p>
      <w:pPr>
        <w:spacing w:line="570" w:lineRule="exact"/>
        <w:ind w:firstLine="643" w:firstLineChars="200"/>
        <w:rPr>
          <w:rFonts w:ascii="仿宋" w:hAnsi="仿宋" w:eastAsia="仿宋" w:cs="仿宋_GB2312"/>
          <w:sz w:val="32"/>
          <w:szCs w:val="32"/>
        </w:rPr>
      </w:pPr>
      <w:r>
        <w:rPr>
          <w:rFonts w:hint="eastAsia" w:ascii="楷体" w:hAnsi="楷体" w:eastAsia="楷体" w:cs="楷体"/>
          <w:b/>
          <w:bCs/>
          <w:kern w:val="0"/>
          <w:sz w:val="32"/>
          <w:szCs w:val="32"/>
        </w:rPr>
        <w:t>第四十六条</w:t>
      </w: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部门和个人对违反考核规定的行为，有权进行举报。考核办接到举报后应及时核实处理，处理意见报考核工作领导小组，反馈有关处理情况。</w:t>
      </w:r>
    </w:p>
    <w:p>
      <w:pPr>
        <w:numPr>
          <w:numId w:val="0"/>
        </w:numPr>
        <w:spacing w:line="570" w:lineRule="exact"/>
        <w:ind w:leftChars="0"/>
        <w:jc w:val="center"/>
        <w:rPr>
          <w:rFonts w:hint="eastAsia" w:ascii="黑体" w:hAnsi="黑体" w:eastAsia="黑体" w:cs="黑体"/>
          <w:sz w:val="32"/>
          <w:szCs w:val="32"/>
        </w:rPr>
      </w:pPr>
      <w:r>
        <w:rPr>
          <w:rFonts w:hint="eastAsia" w:ascii="黑体" w:hAnsi="黑体" w:eastAsia="黑体" w:cs="黑体"/>
          <w:sz w:val="32"/>
          <w:szCs w:val="32"/>
          <w:lang w:eastAsia="zh-CN"/>
        </w:rPr>
        <w:t>第七章</w:t>
      </w:r>
      <w:r>
        <w:rPr>
          <w:rFonts w:hint="eastAsia" w:ascii="黑体" w:hAnsi="黑体" w:eastAsia="黑体" w:cs="黑体"/>
          <w:sz w:val="32"/>
          <w:szCs w:val="32"/>
        </w:rPr>
        <w:t xml:space="preserve"> 附 则</w:t>
      </w:r>
    </w:p>
    <w:p>
      <w:pPr>
        <w:numPr>
          <w:numId w:val="0"/>
        </w:numPr>
        <w:spacing w:line="570" w:lineRule="exact"/>
        <w:ind w:leftChars="0"/>
        <w:jc w:val="both"/>
        <w:rPr>
          <w:rFonts w:hint="eastAsia" w:ascii="黑体" w:hAnsi="黑体" w:eastAsia="黑体" w:cs="黑体"/>
          <w:sz w:val="32"/>
          <w:szCs w:val="32"/>
        </w:rPr>
      </w:pPr>
    </w:p>
    <w:p>
      <w:pPr>
        <w:spacing w:line="570" w:lineRule="exact"/>
        <w:rPr>
          <w:rFonts w:ascii="仿宋" w:hAnsi="仿宋" w:eastAsia="仿宋" w:cs="仿宋_GB2312"/>
          <w:sz w:val="32"/>
          <w:szCs w:val="32"/>
        </w:rPr>
      </w:pPr>
      <w:r>
        <w:rPr>
          <w:rFonts w:hint="eastAsia" w:ascii="楷体" w:hAnsi="楷体" w:eastAsia="楷体" w:cs="楷体"/>
          <w:b/>
          <w:bCs/>
          <w:kern w:val="0"/>
          <w:sz w:val="32"/>
          <w:szCs w:val="32"/>
        </w:rPr>
        <w:t>第四十七条</w:t>
      </w: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本办法由考核工作领导小组负责解释，各部门可结合实际制定考核实施细则。</w:t>
      </w:r>
    </w:p>
    <w:p>
      <w:pPr>
        <w:spacing w:line="570" w:lineRule="exact"/>
        <w:rPr>
          <w:rFonts w:ascii="仿宋_GB2312" w:hAnsi="仿宋_GB2312" w:eastAsia="仿宋_GB2312" w:cs="仿宋_GB2312"/>
          <w:sz w:val="32"/>
          <w:szCs w:val="32"/>
        </w:rPr>
      </w:pPr>
    </w:p>
    <w:p>
      <w:pPr>
        <w:spacing w:line="570" w:lineRule="exact"/>
        <w:rPr>
          <w:rFonts w:ascii="仿宋_GB2312" w:hAnsi="仿宋_GB2312" w:eastAsia="仿宋_GB2312" w:cs="仿宋_GB2312"/>
          <w:sz w:val="32"/>
          <w:szCs w:val="32"/>
        </w:rPr>
      </w:pPr>
    </w:p>
    <w:p>
      <w:pPr>
        <w:spacing w:line="570" w:lineRule="exact"/>
        <w:rPr>
          <w:rFonts w:ascii="仿宋_GB2312" w:hAnsi="仿宋_GB2312" w:eastAsia="仿宋_GB2312" w:cs="仿宋_GB2312"/>
          <w:sz w:val="32"/>
          <w:szCs w:val="32"/>
        </w:rPr>
      </w:pPr>
      <w:bookmarkStart w:id="0" w:name="_GoBack"/>
      <w:bookmarkEnd w:id="0"/>
    </w:p>
    <w:p>
      <w:pPr>
        <w:spacing w:line="570" w:lineRule="exact"/>
        <w:rPr>
          <w:rFonts w:ascii="仿宋_GB2312" w:hAnsi="仿宋_GB2312" w:eastAsia="仿宋_GB2312" w:cs="仿宋_GB2312"/>
          <w:sz w:val="32"/>
          <w:szCs w:val="32"/>
        </w:rPr>
      </w:pPr>
    </w:p>
    <w:p>
      <w:pPr>
        <w:spacing w:line="570" w:lineRule="exact"/>
        <w:rPr>
          <w:rFonts w:ascii="仿宋_GB2312" w:hAnsi="仿宋_GB2312" w:eastAsia="仿宋_GB2312" w:cs="仿宋_GB2312"/>
          <w:sz w:val="32"/>
          <w:szCs w:val="32"/>
        </w:rPr>
      </w:pPr>
    </w:p>
    <w:p>
      <w:pPr>
        <w:spacing w:line="570" w:lineRule="exact"/>
        <w:rPr>
          <w:rFonts w:ascii="仿宋_GB2312" w:hAnsi="仿宋_GB2312" w:eastAsia="仿宋_GB2312" w:cs="仿宋_GB2312"/>
          <w:sz w:val="32"/>
          <w:szCs w:val="32"/>
        </w:rPr>
      </w:pPr>
    </w:p>
    <w:p>
      <w:pPr>
        <w:spacing w:line="570" w:lineRule="exact"/>
        <w:rPr>
          <w:rFonts w:ascii="仿宋_GB2312" w:hAnsi="仿宋_GB2312" w:eastAsia="仿宋_GB2312" w:cs="仿宋_GB2312"/>
          <w:sz w:val="32"/>
          <w:szCs w:val="32"/>
        </w:rPr>
      </w:pPr>
    </w:p>
    <w:p>
      <w:pPr>
        <w:spacing w:line="570" w:lineRule="exact"/>
        <w:rPr>
          <w:rFonts w:ascii="仿宋_GB2312" w:hAnsi="仿宋_GB2312" w:eastAsia="仿宋_GB2312" w:cs="仿宋_GB2312"/>
          <w:sz w:val="32"/>
          <w:szCs w:val="32"/>
        </w:rPr>
      </w:pPr>
    </w:p>
    <w:p>
      <w:pPr>
        <w:spacing w:line="570" w:lineRule="exact"/>
        <w:rPr>
          <w:rFonts w:ascii="仿宋_GB2312" w:hAnsi="仿宋_GB2312" w:eastAsia="仿宋_GB2312" w:cs="仿宋_GB2312"/>
          <w:sz w:val="32"/>
          <w:szCs w:val="32"/>
        </w:rPr>
      </w:pPr>
    </w:p>
    <w:p>
      <w:pPr>
        <w:spacing w:line="570" w:lineRule="exact"/>
        <w:rPr>
          <w:rFonts w:ascii="仿宋_GB2312" w:hAnsi="仿宋_GB2312" w:eastAsia="仿宋_GB2312" w:cs="仿宋_GB2312"/>
          <w:sz w:val="32"/>
          <w:szCs w:val="32"/>
        </w:rPr>
      </w:pPr>
    </w:p>
    <w:p>
      <w:pPr>
        <w:spacing w:line="570" w:lineRule="exact"/>
        <w:rPr>
          <w:rFonts w:ascii="仿宋_GB2312" w:hAnsi="仿宋_GB2312" w:eastAsia="仿宋_GB2312" w:cs="仿宋_GB2312"/>
          <w:sz w:val="32"/>
          <w:szCs w:val="32"/>
        </w:rPr>
      </w:pPr>
    </w:p>
    <w:p>
      <w:pPr>
        <w:spacing w:line="570" w:lineRule="exact"/>
        <w:rPr>
          <w:rFonts w:ascii="仿宋_GB2312" w:hAnsi="仿宋_GB2312" w:eastAsia="仿宋_GB2312" w:cs="仿宋_GB2312"/>
          <w:sz w:val="32"/>
          <w:szCs w:val="32"/>
        </w:rPr>
      </w:pPr>
    </w:p>
    <w:p>
      <w:pPr>
        <w:spacing w:line="570" w:lineRule="exact"/>
        <w:rPr>
          <w:rFonts w:ascii="仿宋_GB2312" w:hAnsi="仿宋_GB2312" w:eastAsia="仿宋_GB2312" w:cs="仿宋_GB2312"/>
          <w:sz w:val="32"/>
          <w:szCs w:val="32"/>
        </w:rPr>
      </w:pPr>
    </w:p>
    <w:p>
      <w:pPr>
        <w:spacing w:line="570" w:lineRule="exact"/>
        <w:rPr>
          <w:rFonts w:ascii="仿宋_GB2312" w:hAnsi="仿宋_GB2312" w:eastAsia="仿宋_GB2312" w:cs="仿宋_GB2312"/>
          <w:sz w:val="32"/>
          <w:szCs w:val="32"/>
        </w:rPr>
      </w:pPr>
    </w:p>
    <w:tbl>
      <w:tblPr>
        <w:tblStyle w:val="6"/>
        <w:tblW w:w="20766" w:type="dxa"/>
        <w:tblInd w:w="15" w:type="dxa"/>
        <w:tblLayout w:type="fixed"/>
        <w:tblCellMar>
          <w:top w:w="0" w:type="dxa"/>
          <w:left w:w="0" w:type="dxa"/>
          <w:bottom w:w="0" w:type="dxa"/>
          <w:right w:w="0" w:type="dxa"/>
        </w:tblCellMar>
      </w:tblPr>
      <w:tblGrid>
        <w:gridCol w:w="478"/>
        <w:gridCol w:w="840"/>
        <w:gridCol w:w="17"/>
        <w:gridCol w:w="823"/>
        <w:gridCol w:w="5894"/>
        <w:gridCol w:w="4830"/>
        <w:gridCol w:w="1125"/>
        <w:gridCol w:w="1134"/>
        <w:gridCol w:w="1125"/>
        <w:gridCol w:w="1125"/>
        <w:gridCol w:w="1125"/>
        <w:gridCol w:w="1125"/>
        <w:gridCol w:w="1125"/>
      </w:tblGrid>
      <w:tr>
        <w:tblPrEx>
          <w:tblCellMar>
            <w:top w:w="0" w:type="dxa"/>
            <w:left w:w="0" w:type="dxa"/>
            <w:bottom w:w="0" w:type="dxa"/>
            <w:right w:w="0" w:type="dxa"/>
          </w:tblCellMar>
        </w:tblPrEx>
        <w:trPr>
          <w:gridAfter w:val="5"/>
          <w:wAfter w:w="5625" w:type="dxa"/>
          <w:trHeight w:val="830" w:hRule="atLeast"/>
        </w:trPr>
        <w:tc>
          <w:tcPr>
            <w:tcW w:w="15141"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rPr>
                <w:rFonts w:ascii="宋体" w:hAnsi="宋体" w:eastAsia="宋体" w:cs="宋体"/>
                <w:b/>
                <w:color w:val="000000"/>
                <w:kern w:val="0"/>
                <w:sz w:val="24"/>
              </w:rPr>
            </w:pPr>
            <w:r>
              <w:rPr>
                <w:rFonts w:hint="eastAsia" w:ascii="宋体" w:hAnsi="宋体" w:eastAsia="宋体" w:cs="宋体"/>
                <w:b/>
                <w:color w:val="000000"/>
                <w:kern w:val="0"/>
                <w:sz w:val="24"/>
              </w:rPr>
              <w:t xml:space="preserve">附件1           </w:t>
            </w:r>
            <w:r>
              <w:rPr>
                <w:rFonts w:hint="eastAsia" w:ascii="Arial Unicode MS" w:hAnsi="Arial Unicode MS" w:eastAsia="Arial Unicode MS" w:cs="Arial Unicode MS"/>
                <w:color w:val="000000"/>
                <w:kern w:val="0"/>
                <w:sz w:val="43"/>
                <w:szCs w:val="43"/>
              </w:rPr>
              <w:t xml:space="preserve">             2022年度</w:t>
            </w:r>
            <w:r>
              <w:rPr>
                <w:rFonts w:ascii="Arial Unicode MS" w:hAnsi="Arial Unicode MS" w:eastAsia="Arial Unicode MS" w:cs="Arial Unicode MS"/>
                <w:color w:val="000000"/>
                <w:kern w:val="0"/>
                <w:sz w:val="43"/>
                <w:szCs w:val="43"/>
              </w:rPr>
              <w:t>绩效考核共性指标</w:t>
            </w:r>
          </w:p>
        </w:tc>
      </w:tr>
      <w:tr>
        <w:tblPrEx>
          <w:tblCellMar>
            <w:top w:w="0" w:type="dxa"/>
            <w:left w:w="0" w:type="dxa"/>
            <w:bottom w:w="0" w:type="dxa"/>
            <w:right w:w="0" w:type="dxa"/>
          </w:tblCellMar>
        </w:tblPrEx>
        <w:trPr>
          <w:gridAfter w:val="5"/>
          <w:wAfter w:w="5625" w:type="dxa"/>
          <w:trHeight w:val="689" w:hRule="atLeast"/>
        </w:trPr>
        <w:tc>
          <w:tcPr>
            <w:tcW w:w="215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考核项目</w:t>
            </w:r>
          </w:p>
        </w:tc>
        <w:tc>
          <w:tcPr>
            <w:tcW w:w="5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部门年度考核标准及分值设定</w:t>
            </w:r>
          </w:p>
        </w:tc>
        <w:tc>
          <w:tcPr>
            <w:tcW w:w="4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个人季度考核标准及分值设定</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考核成员单位</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备注</w:t>
            </w:r>
          </w:p>
        </w:tc>
      </w:tr>
      <w:tr>
        <w:tblPrEx>
          <w:tblCellMar>
            <w:top w:w="0" w:type="dxa"/>
            <w:left w:w="0" w:type="dxa"/>
            <w:bottom w:w="0" w:type="dxa"/>
            <w:right w:w="0" w:type="dxa"/>
          </w:tblCellMar>
        </w:tblPrEx>
        <w:trPr>
          <w:gridAfter w:val="5"/>
          <w:wAfter w:w="5625" w:type="dxa"/>
          <w:trHeight w:val="1672" w:hRule="atLeast"/>
        </w:trPr>
        <w:tc>
          <w:tcPr>
            <w:tcW w:w="4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p>
          <w:p>
            <w:pPr>
              <w:widowControl/>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r>
              <w:rPr>
                <w:rFonts w:ascii="方正小标宋简体" w:hAnsi="方正小标宋简体" w:eastAsia="方正小标宋简体" w:cs="方正小标宋简体"/>
                <w:b/>
                <w:color w:val="000000"/>
                <w:kern w:val="0"/>
                <w:sz w:val="24"/>
              </w:rPr>
              <w:t>全面从严治党</w:t>
            </w:r>
          </w:p>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p>
          <w:p>
            <w:pPr>
              <w:widowControl/>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r>
              <w:rPr>
                <w:rFonts w:ascii="方正小标宋简体" w:hAnsi="方正小标宋简体" w:eastAsia="方正小标宋简体" w:cs="方正小标宋简体"/>
                <w:b/>
                <w:color w:val="000000"/>
                <w:kern w:val="0"/>
                <w:sz w:val="24"/>
              </w:rPr>
              <w:t>全面从严治党</w:t>
            </w:r>
          </w:p>
          <w:p>
            <w:pPr>
              <w:widowControl/>
              <w:jc w:val="center"/>
              <w:textAlignment w:val="center"/>
              <w:rPr>
                <w:rFonts w:ascii="方正小标宋简体" w:hAnsi="方正小标宋简体" w:eastAsia="方正小标宋简体" w:cs="方正小标宋简体"/>
                <w:b/>
                <w:color w:val="000000"/>
                <w:sz w:val="24"/>
              </w:rPr>
            </w:pPr>
          </w:p>
        </w:tc>
        <w:tc>
          <w:tcPr>
            <w:tcW w:w="8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p>
          <w:p>
            <w:pPr>
              <w:widowControl/>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r>
              <w:rPr>
                <w:rFonts w:ascii="方正小标宋简体" w:hAnsi="方正小标宋简体" w:eastAsia="方正小标宋简体" w:cs="方正小标宋简体"/>
                <w:b/>
                <w:color w:val="000000"/>
                <w:kern w:val="0"/>
                <w:sz w:val="24"/>
              </w:rPr>
              <w:t>部门（支部）党的建设</w:t>
            </w:r>
          </w:p>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p>
          <w:p>
            <w:pPr>
              <w:widowControl/>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r>
              <w:rPr>
                <w:rFonts w:ascii="方正小标宋简体" w:hAnsi="方正小标宋简体" w:eastAsia="方正小标宋简体" w:cs="方正小标宋简体"/>
                <w:b/>
                <w:color w:val="000000"/>
                <w:kern w:val="0"/>
                <w:sz w:val="24"/>
              </w:rPr>
              <w:t>部门（支部）党的建设</w:t>
            </w:r>
          </w:p>
          <w:p>
            <w:pPr>
              <w:widowControl/>
              <w:jc w:val="center"/>
              <w:textAlignment w:val="center"/>
              <w:rPr>
                <w:rFonts w:ascii="方正小标宋简体" w:hAnsi="方正小标宋简体" w:eastAsia="方正小标宋简体" w:cs="方正小标宋简体"/>
                <w:b/>
                <w:color w:val="000000"/>
                <w:sz w:val="24"/>
              </w:rPr>
            </w:pP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
                <w:color w:val="000000"/>
                <w:sz w:val="24"/>
              </w:rPr>
            </w:pPr>
            <w:r>
              <w:rPr>
                <w:rFonts w:ascii="方正小标宋简体" w:hAnsi="方正小标宋简体" w:eastAsia="方正小标宋简体" w:cs="方正小标宋简体"/>
                <w:b/>
                <w:color w:val="000000"/>
                <w:kern w:val="0"/>
                <w:sz w:val="24"/>
              </w:rPr>
              <w:t>强化创新理论武装</w:t>
            </w: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1.不按照要求组织开展迎接宣传贯彻党的二十大活动，不认真组织党代表选举推荐的，扣 0.2 分，未开展迎接党的二十大主题党日活动的，扣 0.2 分，未按要求及时组织学习宣传贯彻党的二十大精神培训的，每次扣 0.2 分。</w:t>
            </w: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1.党员无故不参加投票选举的每人次扣 0.1 分；无故不参加培训学习的每人次扣 0.1 分。</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方正小标宋简体"/>
                <w:b/>
                <w:color w:val="000000"/>
                <w:kern w:val="0"/>
                <w:sz w:val="24"/>
              </w:rPr>
            </w:pPr>
            <w:r>
              <w:rPr>
                <w:rFonts w:hint="eastAsia" w:ascii="宋体" w:hAnsi="宋体" w:eastAsia="宋体" w:cs="方正小标宋简体"/>
                <w:b/>
                <w:color w:val="000000"/>
                <w:kern w:val="0"/>
                <w:sz w:val="24"/>
              </w:rPr>
              <w:t>政治部</w:t>
            </w:r>
          </w:p>
          <w:p>
            <w:pPr>
              <w:widowControl/>
              <w:jc w:val="center"/>
              <w:textAlignment w:val="center"/>
              <w:rPr>
                <w:rFonts w:ascii="方正小标宋简体" w:hAnsi="方正小标宋简体" w:eastAsia="方正小标宋简体" w:cs="方正小标宋简体"/>
                <w:b/>
                <w:color w:val="000000"/>
                <w:sz w:val="24"/>
              </w:rPr>
            </w:pPr>
            <w:r>
              <w:rPr>
                <w:rFonts w:hint="eastAsia" w:ascii="宋体" w:hAnsi="宋体" w:eastAsia="宋体" w:cs="方正小标宋简体"/>
                <w:b/>
                <w:color w:val="000000"/>
                <w:kern w:val="0"/>
                <w:sz w:val="24"/>
              </w:rPr>
              <w:t>（督察室）</w:t>
            </w:r>
            <w:r>
              <w:rPr>
                <w:rFonts w:ascii="宋体" w:hAnsi="宋体" w:eastAsia="宋体" w:cs="方正小标宋简体"/>
                <w:b/>
                <w:color w:val="000000"/>
                <w:kern w:val="0"/>
                <w:sz w:val="24"/>
              </w:rPr>
              <w:br w:type="textWrapping"/>
            </w:r>
            <w:r>
              <w:rPr>
                <w:rFonts w:ascii="宋体" w:hAnsi="宋体" w:eastAsia="宋体" w:cs="方正小标宋简体"/>
                <w:b/>
                <w:color w:val="000000"/>
                <w:kern w:val="0"/>
                <w:sz w:val="24"/>
              </w:rPr>
              <w:t>机关党委</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color w:val="000000"/>
                <w:sz w:val="24"/>
              </w:rPr>
            </w:pPr>
          </w:p>
        </w:tc>
      </w:tr>
      <w:tr>
        <w:tblPrEx>
          <w:tblCellMar>
            <w:top w:w="0" w:type="dxa"/>
            <w:left w:w="0" w:type="dxa"/>
            <w:bottom w:w="0" w:type="dxa"/>
            <w:right w:w="0" w:type="dxa"/>
          </w:tblCellMar>
        </w:tblPrEx>
        <w:trPr>
          <w:gridAfter w:val="5"/>
          <w:wAfter w:w="5625" w:type="dxa"/>
          <w:trHeight w:val="1057" w:hRule="atLeast"/>
        </w:trPr>
        <w:tc>
          <w:tcPr>
            <w:tcW w:w="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2.不按照要求开展“深刻领悟‘两个确立’决定性意义，坚决做到‘两个维护’”主题教育，未完成思想发动、学习教育等规定环节的指令性工作任务，每缺少一项扣 0.3 分。</w:t>
            </w: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2.党员未按照要求参加“学习教育”环节中的各个专题教育，每缺少一次，扣 0.1 分。</w:t>
            </w:r>
          </w:p>
        </w:tc>
        <w:tc>
          <w:tcPr>
            <w:tcW w:w="112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
                <w:color w:val="000000"/>
                <w:sz w:val="24"/>
              </w:rPr>
            </w:pPr>
            <w:r>
              <w:rPr>
                <w:rFonts w:ascii="宋体" w:hAnsi="宋体" w:eastAsia="宋体" w:cs="方正小标宋简体"/>
                <w:b/>
                <w:color w:val="000000"/>
                <w:kern w:val="0"/>
                <w:sz w:val="24"/>
              </w:rPr>
              <w:t>机关党委</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color w:val="000000"/>
                <w:sz w:val="24"/>
              </w:rPr>
            </w:pPr>
          </w:p>
        </w:tc>
      </w:tr>
      <w:tr>
        <w:trPr>
          <w:gridAfter w:val="5"/>
          <w:wAfter w:w="5625" w:type="dxa"/>
          <w:trHeight w:val="1543" w:hRule="atLeast"/>
        </w:trPr>
        <w:tc>
          <w:tcPr>
            <w:tcW w:w="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
                <w:color w:val="000000"/>
                <w:sz w:val="24"/>
              </w:rPr>
            </w:pPr>
            <w:r>
              <w:rPr>
                <w:rFonts w:ascii="方正小标宋简体" w:hAnsi="方正小标宋简体" w:eastAsia="方正小标宋简体" w:cs="方正小标宋简体"/>
                <w:b/>
                <w:color w:val="000000"/>
                <w:kern w:val="0"/>
                <w:sz w:val="24"/>
              </w:rPr>
              <w:t>建强支部战斗堡垒</w:t>
            </w: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3.推进新时代吉林党支部标准体系（BTX）建设不力，开展“巩固B、瞄准 T、争创 X”创建活动不认真，星级达标创建未达到五星级标准的扣 1 分，未按照要求完成新时代 e 支部信息上传更新，被通报批评或亮红灯警告的，每次扣0.5 分，通报中每增加一起问题再行加扣 0.2 分。</w:t>
            </w: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3.被省、市直机关以上部门通报个人，每通报一人次，给所在支部扣 0.1 分。</w:t>
            </w:r>
          </w:p>
        </w:tc>
        <w:tc>
          <w:tcPr>
            <w:tcW w:w="112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color w:val="000000"/>
                <w:sz w:val="24"/>
              </w:rPr>
            </w:pPr>
          </w:p>
        </w:tc>
      </w:tr>
      <w:tr>
        <w:trPr>
          <w:gridAfter w:val="5"/>
          <w:wAfter w:w="5625" w:type="dxa"/>
          <w:trHeight w:val="1543" w:hRule="atLeast"/>
        </w:trPr>
        <w:tc>
          <w:tcPr>
            <w:tcW w:w="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4.不按照要求开展“基层建设年”活动，不认真落实为干警办实事项目清单，每缺少一项扣 0.2 分；不认真落实机关党委工作人员联系党支部工作要求，对上级党组织在预警工作中指出的支部存在的软弱涣散问题不重视，对问题整改不彻底，每发现一起扣0.2 分。</w:t>
            </w: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p>
        </w:tc>
        <w:tc>
          <w:tcPr>
            <w:tcW w:w="112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color w:val="000000"/>
                <w:sz w:val="24"/>
              </w:rPr>
            </w:pPr>
          </w:p>
        </w:tc>
      </w:tr>
      <w:tr>
        <w:trPr>
          <w:gridAfter w:val="5"/>
          <w:wAfter w:w="5625" w:type="dxa"/>
          <w:trHeight w:val="1680" w:hRule="atLeast"/>
        </w:trPr>
        <w:tc>
          <w:tcPr>
            <w:tcW w:w="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5.推进支部标准化规范化制度化建设不力，“三会一课”、主题党日、组织生活会等组织生活制度落实不到位，每发现一次扣 0.2分；“三会一课”等活动记录本书写和登记不规范的，每发现一起扣 0.1 分，支部书记不签字审核的，每发现一起扣 0.1 分。不按照要求进行换届和补选支部委员的，每发现一次扣 0.2 分。</w:t>
            </w: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p>
        </w:tc>
        <w:tc>
          <w:tcPr>
            <w:tcW w:w="112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color w:val="000000"/>
                <w:sz w:val="24"/>
              </w:rPr>
            </w:pPr>
          </w:p>
        </w:tc>
      </w:tr>
      <w:tr>
        <w:trPr>
          <w:gridAfter w:val="5"/>
          <w:wAfter w:w="5625" w:type="dxa"/>
          <w:trHeight w:val="2812" w:hRule="atLeast"/>
        </w:trPr>
        <w:tc>
          <w:tcPr>
            <w:tcW w:w="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
                <w:color w:val="000000"/>
                <w:sz w:val="24"/>
              </w:rPr>
            </w:pPr>
            <w:r>
              <w:rPr>
                <w:rFonts w:ascii="方正小标宋简体" w:hAnsi="方正小标宋简体" w:eastAsia="方正小标宋简体" w:cs="方正小标宋简体"/>
                <w:b/>
                <w:color w:val="000000"/>
                <w:kern w:val="0"/>
                <w:sz w:val="24"/>
              </w:rPr>
              <w:t>加强党员队伍建设</w:t>
            </w: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6.不认真履行对支部党员的教育监督管理职责，不按照要求落实支部年度理论学习计划，不按规定记录学习笔记的，每人次扣 0.1分。参加机关党委组织的理论知识学习考核成绩未达到 60 分，每人次扣 0.1 分。不按照要求填写、报送、归档发展党员的相关材料，每人次扣 0.3 分。民主评议党员不规范的，每人次扣 0.2 分。不按时交纳党费或不认真填写《党费交纳证》，每人次扣 0.1 分，不按照要求佩戴党徽的，每发现一人次扣0.05分。</w:t>
            </w: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4.不按照支部和个人理论学习计划要求记录，每发现一次扣 0.1 分。参加机关党委组织的理论知识学习考核成绩未达到 60 分，每次扣 0.1 分。不按照要求填写、报送、归档发展党员的相关材料，每次扣 0.3 分；未按时交纳党费或未认真填写《党费交纳证》，每次扣 0.1 分；不按照要求佩戴党徽，每次扣 0.05 分。</w:t>
            </w:r>
          </w:p>
        </w:tc>
        <w:tc>
          <w:tcPr>
            <w:tcW w:w="112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
                <w:color w:val="000000"/>
                <w:sz w:val="24"/>
              </w:rPr>
            </w:pPr>
            <w:r>
              <w:rPr>
                <w:rFonts w:ascii="宋体" w:hAnsi="宋体" w:eastAsia="宋体" w:cs="方正小标宋简体"/>
                <w:b/>
                <w:color w:val="000000"/>
                <w:kern w:val="0"/>
                <w:sz w:val="24"/>
              </w:rPr>
              <w:t>机关党委</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color w:val="000000"/>
                <w:sz w:val="24"/>
              </w:rPr>
            </w:pPr>
          </w:p>
        </w:tc>
      </w:tr>
      <w:tr>
        <w:trPr>
          <w:gridAfter w:val="5"/>
          <w:wAfter w:w="5625" w:type="dxa"/>
          <w:trHeight w:val="1249" w:hRule="atLeast"/>
        </w:trPr>
        <w:tc>
          <w:tcPr>
            <w:tcW w:w="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
                <w:color w:val="000000"/>
                <w:sz w:val="24"/>
              </w:rPr>
            </w:pPr>
            <w:r>
              <w:rPr>
                <w:rFonts w:ascii="方正小标宋简体" w:hAnsi="方正小标宋简体" w:eastAsia="方正小标宋简体" w:cs="方正小标宋简体"/>
                <w:b/>
                <w:color w:val="000000"/>
                <w:kern w:val="0"/>
                <w:sz w:val="24"/>
              </w:rPr>
              <w:t>压实党建任务落实</w:t>
            </w: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7.不按照要求落实年度党建工作要点，落实支部“第一议题”制度不到位，不按照要求落实常态化、长效化开展党史学习教育等重点工作的，每项扣 0.2 分。</w:t>
            </w: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112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color w:val="000000"/>
                <w:sz w:val="24"/>
              </w:rPr>
            </w:pPr>
          </w:p>
        </w:tc>
      </w:tr>
      <w:tr>
        <w:trPr>
          <w:gridAfter w:val="5"/>
          <w:wAfter w:w="5625" w:type="dxa"/>
          <w:trHeight w:val="1252" w:hRule="atLeast"/>
        </w:trPr>
        <w:tc>
          <w:tcPr>
            <w:tcW w:w="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8.不按照要求组织部门人员参加机关党建活动，每人次扣 0.1 分；不按时落实机关党委部署的其他工作任务，每人次扣 0.1 分。</w:t>
            </w: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5.不按照要求参加机关党建活动，每次扣 0.1 分；不按时落实机关党委部署的其他工作任务，每次扣 0.1 分。</w:t>
            </w:r>
          </w:p>
        </w:tc>
        <w:tc>
          <w:tcPr>
            <w:tcW w:w="112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color w:val="000000"/>
                <w:sz w:val="24"/>
              </w:rPr>
            </w:pPr>
          </w:p>
        </w:tc>
      </w:tr>
      <w:tr>
        <w:trPr>
          <w:gridAfter w:val="5"/>
          <w:wAfter w:w="5625" w:type="dxa"/>
          <w:trHeight w:val="1133" w:hRule="atLeast"/>
        </w:trPr>
        <w:tc>
          <w:tcPr>
            <w:tcW w:w="47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
                <w:color w:val="000000"/>
                <w:kern w:val="0"/>
                <w:sz w:val="24"/>
              </w:rPr>
            </w:pPr>
            <w:r>
              <w:rPr>
                <w:rFonts w:ascii="方正小标宋简体" w:hAnsi="方正小标宋简体" w:eastAsia="方正小标宋简体" w:cs="方正小标宋简体"/>
                <w:b/>
                <w:color w:val="000000"/>
                <w:kern w:val="0"/>
                <w:sz w:val="24"/>
              </w:rPr>
              <w:pict>
                <v:shape id="_x0000_s1068" o:spid="_x0000_s1068" o:spt="32" type="#_x0000_t32" style="position:absolute;left:0pt;margin-left:-0.4pt;margin-top:183.95pt;height:0pt;width:107.05pt;z-index:251664384;mso-width-relative:page;mso-height-relative:page;" o:connectortype="straight" filled="f" coordsize="21600,21600">
                  <v:path arrowok="t"/>
                  <v:fill on="f" focussize="0,0"/>
                  <v:stroke/>
                  <v:imagedata o:title=""/>
                  <o:lock v:ext="edit"/>
                </v:shape>
              </w:pict>
            </w:r>
            <w:r>
              <w:rPr>
                <w:rFonts w:ascii="方正小标宋简体" w:hAnsi="方正小标宋简体" w:eastAsia="方正小标宋简体" w:cs="方正小标宋简体"/>
                <w:b/>
                <w:color w:val="000000"/>
                <w:kern w:val="0"/>
                <w:sz w:val="24"/>
              </w:rPr>
              <w:t>全面从严治党</w:t>
            </w:r>
          </w:p>
          <w:p>
            <w:pPr>
              <w:jc w:val="center"/>
              <w:rPr>
                <w:rFonts w:ascii="方正小标宋简体" w:hAnsi="方正小标宋简体" w:eastAsia="方正小标宋简体" w:cs="方正小标宋简体"/>
                <w:b/>
                <w:color w:val="000000"/>
                <w:sz w:val="24"/>
              </w:rPr>
            </w:pPr>
            <w:r>
              <w:rPr>
                <w:rFonts w:ascii="方正小标宋简体" w:hAnsi="方正小标宋简体" w:eastAsia="方正小标宋简体" w:cs="方正小标宋简体"/>
                <w:b/>
                <w:color w:val="000000"/>
                <w:kern w:val="0"/>
                <w:sz w:val="24"/>
              </w:rPr>
              <w:pict>
                <v:shape id="_x0000_s1072" o:spid="_x0000_s1072" o:spt="32" type="#_x0000_t32" style="position:absolute;left:0pt;margin-left:-1.15pt;margin-top:-1.15pt;height:0pt;width:107.05pt;z-index:251666432;mso-width-relative:page;mso-height-relative:page;" o:connectortype="straight" filled="f" coordsize="21600,21600">
                  <v:path arrowok="t"/>
                  <v:fill on="f" focussize="0,0"/>
                  <v:stroke/>
                  <v:imagedata o:title=""/>
                  <o:lock v:ext="edit"/>
                </v:shape>
              </w:pict>
            </w:r>
          </w:p>
          <w:p>
            <w:pPr>
              <w:jc w:val="center"/>
              <w:rPr>
                <w:rFonts w:ascii="方正小标宋简体" w:hAnsi="方正小标宋简体" w:eastAsia="方正小标宋简体" w:cs="方正小标宋简体"/>
                <w:b/>
                <w:color w:val="000000"/>
                <w:sz w:val="24"/>
              </w:rPr>
            </w:pPr>
          </w:p>
          <w:p>
            <w:pPr>
              <w:jc w:val="center"/>
              <w:rPr>
                <w:rFonts w:ascii="方正小标宋简体" w:hAnsi="方正小标宋简体" w:eastAsia="方正小标宋简体" w:cs="方正小标宋简体"/>
                <w:b/>
                <w:color w:val="000000"/>
                <w:sz w:val="24"/>
              </w:rPr>
            </w:pPr>
          </w:p>
          <w:p>
            <w:pPr>
              <w:jc w:val="center"/>
              <w:rPr>
                <w:rFonts w:ascii="方正小标宋简体" w:hAnsi="方正小标宋简体" w:eastAsia="方正小标宋简体" w:cs="方正小标宋简体"/>
                <w:b/>
                <w:color w:val="000000"/>
                <w:sz w:val="24"/>
              </w:rPr>
            </w:pPr>
          </w:p>
          <w:p>
            <w:pPr>
              <w:jc w:val="center"/>
              <w:rPr>
                <w:rFonts w:ascii="方正小标宋简体" w:hAnsi="方正小标宋简体" w:eastAsia="方正小标宋简体" w:cs="方正小标宋简体"/>
                <w:b/>
                <w:color w:val="000000"/>
                <w:sz w:val="24"/>
              </w:rPr>
            </w:pPr>
            <w:r>
              <w:rPr>
                <w:rFonts w:hint="eastAsia" w:ascii="方正小标宋简体" w:hAnsi="方正小标宋简体" w:eastAsia="方正小标宋简体" w:cs="方正小标宋简体"/>
                <w:b/>
                <w:color w:val="000000"/>
                <w:sz w:val="24"/>
              </w:rPr>
              <w:t>全面从严治党</w:t>
            </w:r>
          </w:p>
          <w:p>
            <w:pPr>
              <w:jc w:val="center"/>
              <w:rPr>
                <w:rFonts w:ascii="方正小标宋简体" w:hAnsi="方正小标宋简体" w:eastAsia="方正小标宋简体" w:cs="方正小标宋简体"/>
                <w:b/>
                <w:color w:val="000000"/>
                <w:sz w:val="24"/>
              </w:rPr>
            </w:pPr>
          </w:p>
          <w:p>
            <w:pPr>
              <w:jc w:val="center"/>
              <w:rPr>
                <w:rFonts w:ascii="方正小标宋简体" w:hAnsi="方正小标宋简体" w:eastAsia="方正小标宋简体" w:cs="方正小标宋简体"/>
                <w:b/>
                <w:color w:val="000000"/>
                <w:sz w:val="24"/>
              </w:rPr>
            </w:pPr>
          </w:p>
          <w:p>
            <w:pPr>
              <w:jc w:val="center"/>
              <w:rPr>
                <w:rFonts w:ascii="方正小标宋简体" w:hAnsi="方正小标宋简体" w:eastAsia="方正小标宋简体" w:cs="方正小标宋简体"/>
                <w:b/>
                <w:color w:val="000000"/>
                <w:sz w:val="24"/>
              </w:rPr>
            </w:pPr>
          </w:p>
          <w:p>
            <w:pPr>
              <w:jc w:val="center"/>
              <w:rPr>
                <w:rFonts w:ascii="方正小标宋简体" w:hAnsi="方正小标宋简体" w:eastAsia="方正小标宋简体" w:cs="方正小标宋简体"/>
                <w:b/>
                <w:color w:val="000000"/>
                <w:sz w:val="24"/>
              </w:rPr>
            </w:pPr>
            <w:r>
              <w:rPr>
                <w:rFonts w:ascii="方正小标宋简体" w:hAnsi="方正小标宋简体" w:eastAsia="方正小标宋简体" w:cs="方正小标宋简体"/>
                <w:b/>
                <w:color w:val="000000"/>
                <w:sz w:val="24"/>
              </w:rPr>
              <w:pict>
                <v:shape id="_x0000_s1073" o:spid="_x0000_s1073" o:spt="32" type="#_x0000_t32" style="position:absolute;left:0pt;margin-left:-0.65pt;margin-top:-0.35pt;height:0pt;width:107.05pt;z-index:251667456;mso-width-relative:page;mso-height-relative:page;" o:connectortype="straight" filled="f" coordsize="21600,21600">
                  <v:path arrowok="t"/>
                  <v:fill on="f" focussize="0,0"/>
                  <v:stroke/>
                  <v:imagedata o:title=""/>
                  <o:lock v:ext="edit"/>
                </v:shape>
              </w:pict>
            </w:r>
          </w:p>
          <w:p>
            <w:pPr>
              <w:jc w:val="center"/>
              <w:rPr>
                <w:rFonts w:ascii="方正小标宋简体" w:hAnsi="方正小标宋简体" w:eastAsia="方正小标宋简体" w:cs="方正小标宋简体"/>
                <w:b/>
                <w:color w:val="000000"/>
                <w:sz w:val="24"/>
              </w:rPr>
            </w:pPr>
          </w:p>
          <w:p>
            <w:pPr>
              <w:jc w:val="center"/>
              <w:rPr>
                <w:rFonts w:ascii="方正小标宋简体" w:hAnsi="方正小标宋简体" w:eastAsia="方正小标宋简体" w:cs="方正小标宋简体"/>
                <w:b/>
                <w:color w:val="000000"/>
                <w:sz w:val="24"/>
              </w:rPr>
            </w:pPr>
          </w:p>
          <w:p>
            <w:pPr>
              <w:jc w:val="center"/>
              <w:rPr>
                <w:rFonts w:ascii="方正小标宋简体" w:hAnsi="方正小标宋简体" w:eastAsia="方正小标宋简体" w:cs="方正小标宋简体"/>
                <w:b/>
                <w:color w:val="000000"/>
                <w:sz w:val="24"/>
              </w:rPr>
            </w:pPr>
          </w:p>
          <w:p>
            <w:pPr>
              <w:jc w:val="center"/>
              <w:rPr>
                <w:rFonts w:ascii="方正小标宋简体" w:hAnsi="方正小标宋简体" w:eastAsia="方正小标宋简体" w:cs="方正小标宋简体"/>
                <w:b/>
                <w:color w:val="000000"/>
                <w:sz w:val="24"/>
              </w:rPr>
            </w:pPr>
          </w:p>
          <w:p>
            <w:pPr>
              <w:jc w:val="center"/>
              <w:rPr>
                <w:rFonts w:ascii="方正小标宋简体" w:hAnsi="方正小标宋简体" w:eastAsia="方正小标宋简体" w:cs="方正小标宋简体"/>
                <w:b/>
                <w:color w:val="000000"/>
                <w:sz w:val="24"/>
              </w:rPr>
            </w:pPr>
            <w:r>
              <w:rPr>
                <w:rFonts w:ascii="宋体" w:hAnsi="宋体" w:eastAsia="宋体" w:cs="宋体"/>
                <w:color w:val="000000"/>
                <w:kern w:val="0"/>
                <w:sz w:val="22"/>
                <w:szCs w:val="22"/>
              </w:rPr>
              <w:pict>
                <v:shape id="_x0000_s1088" o:spid="_x0000_s1088" o:spt="32" type="#_x0000_t32" style="position:absolute;left:0pt;margin-left:-0.65pt;margin-top:288.4pt;height:0pt;width:107.05pt;z-index:251668480;mso-width-relative:page;mso-height-relative:page;" o:connectortype="straight" filled="f" coordsize="21600,21600">
                  <v:path arrowok="t"/>
                  <v:fill on="f" focussize="0,0"/>
                  <v:stroke/>
                  <v:imagedata o:title=""/>
                  <o:lock v:ext="edit"/>
                </v:shape>
              </w:pict>
            </w:r>
            <w:r>
              <w:rPr>
                <w:rFonts w:hint="eastAsia" w:ascii="方正小标宋简体" w:hAnsi="方正小标宋简体" w:eastAsia="方正小标宋简体" w:cs="方正小标宋简体"/>
                <w:b/>
                <w:color w:val="000000"/>
                <w:sz w:val="24"/>
              </w:rPr>
              <w:t>全面从严治党</w:t>
            </w:r>
          </w:p>
        </w:tc>
        <w:tc>
          <w:tcPr>
            <w:tcW w:w="1680" w:type="dxa"/>
            <w:gridSpan w:val="3"/>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r>
              <w:rPr>
                <w:rFonts w:ascii="方正小标宋简体" w:hAnsi="方正小标宋简体" w:eastAsia="方正小标宋简体" w:cs="方正小标宋简体"/>
                <w:b/>
                <w:color w:val="000000"/>
                <w:kern w:val="0"/>
                <w:sz w:val="24"/>
              </w:rPr>
              <w:t>思想政治建设和</w:t>
            </w:r>
          </w:p>
          <w:p>
            <w:pPr>
              <w:widowControl/>
              <w:jc w:val="center"/>
              <w:textAlignment w:val="center"/>
              <w:rPr>
                <w:rFonts w:ascii="方正小标宋简体" w:hAnsi="方正小标宋简体" w:eastAsia="方正小标宋简体" w:cs="方正小标宋简体"/>
                <w:b/>
                <w:color w:val="000000"/>
                <w:kern w:val="0"/>
                <w:sz w:val="24"/>
              </w:rPr>
            </w:pPr>
            <w:r>
              <w:rPr>
                <w:rFonts w:ascii="方正小标宋简体" w:hAnsi="方正小标宋简体" w:eastAsia="方正小标宋简体" w:cs="方正小标宋简体"/>
                <w:b/>
                <w:color w:val="000000"/>
                <w:kern w:val="0"/>
                <w:sz w:val="24"/>
              </w:rPr>
              <w:t>意识形态工作</w:t>
            </w:r>
          </w:p>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p>
          <w:p>
            <w:pPr>
              <w:jc w:val="center"/>
              <w:rPr>
                <w:rFonts w:ascii="方正小标宋简体" w:hAnsi="方正小标宋简体" w:eastAsia="方正小标宋简体" w:cs="方正小标宋简体"/>
                <w:b/>
                <w:color w:val="000000"/>
                <w:kern w:val="0"/>
                <w:sz w:val="24"/>
              </w:rPr>
            </w:pPr>
          </w:p>
          <w:p>
            <w:pPr>
              <w:jc w:val="center"/>
              <w:rPr>
                <w:rFonts w:ascii="方正小标宋简体" w:hAnsi="方正小标宋简体" w:eastAsia="方正小标宋简体" w:cs="方正小标宋简体"/>
                <w:b/>
                <w:color w:val="000000"/>
                <w:kern w:val="0"/>
                <w:sz w:val="24"/>
              </w:rPr>
            </w:pPr>
          </w:p>
          <w:p>
            <w:pPr>
              <w:jc w:val="center"/>
              <w:rPr>
                <w:rFonts w:ascii="方正小标宋简体" w:hAnsi="方正小标宋简体" w:eastAsia="方正小标宋简体" w:cs="方正小标宋简体"/>
                <w:b/>
                <w:color w:val="000000"/>
                <w:kern w:val="0"/>
                <w:sz w:val="24"/>
              </w:rPr>
            </w:pPr>
          </w:p>
          <w:p>
            <w:pPr>
              <w:jc w:val="center"/>
              <w:rPr>
                <w:rFonts w:ascii="方正小标宋简体" w:hAnsi="方正小标宋简体" w:eastAsia="方正小标宋简体" w:cs="方正小标宋简体"/>
                <w:b/>
                <w:color w:val="000000"/>
                <w:kern w:val="0"/>
                <w:sz w:val="24"/>
              </w:rPr>
            </w:pPr>
          </w:p>
          <w:p>
            <w:pPr>
              <w:jc w:val="center"/>
              <w:rPr>
                <w:rFonts w:ascii="方正小标宋简体" w:hAnsi="方正小标宋简体" w:eastAsia="方正小标宋简体" w:cs="方正小标宋简体"/>
                <w:b/>
                <w:color w:val="000000"/>
                <w:kern w:val="0"/>
                <w:sz w:val="24"/>
              </w:rPr>
            </w:pPr>
            <w:r>
              <w:rPr>
                <w:rFonts w:ascii="方正小标宋简体" w:hAnsi="方正小标宋简体" w:eastAsia="方正小标宋简体" w:cs="方正小标宋简体"/>
                <w:b/>
                <w:color w:val="000000"/>
                <w:kern w:val="0"/>
                <w:sz w:val="24"/>
              </w:rPr>
              <w:t>思想政治建设和</w:t>
            </w:r>
          </w:p>
          <w:p>
            <w:pPr>
              <w:jc w:val="center"/>
              <w:rPr>
                <w:rFonts w:ascii="方正小标宋简体" w:hAnsi="方正小标宋简体" w:eastAsia="方正小标宋简体" w:cs="方正小标宋简体"/>
                <w:b/>
                <w:color w:val="000000"/>
                <w:kern w:val="0"/>
                <w:sz w:val="24"/>
              </w:rPr>
            </w:pPr>
            <w:r>
              <w:rPr>
                <w:rFonts w:ascii="方正小标宋简体" w:hAnsi="方正小标宋简体" w:eastAsia="方正小标宋简体" w:cs="方正小标宋简体"/>
                <w:b/>
                <w:color w:val="000000"/>
                <w:kern w:val="0"/>
                <w:sz w:val="24"/>
              </w:rPr>
              <w:t>意识形态工作</w:t>
            </w:r>
          </w:p>
          <w:p>
            <w:pPr>
              <w:jc w:val="center"/>
              <w:rPr>
                <w:rFonts w:ascii="方正小标宋简体" w:hAnsi="方正小标宋简体" w:eastAsia="方正小标宋简体" w:cs="方正小标宋简体"/>
                <w:b/>
                <w:color w:val="000000"/>
                <w:kern w:val="0"/>
                <w:sz w:val="24"/>
              </w:rPr>
            </w:pPr>
          </w:p>
          <w:p>
            <w:pPr>
              <w:jc w:val="center"/>
              <w:rPr>
                <w:rFonts w:ascii="方正小标宋简体" w:hAnsi="方正小标宋简体" w:eastAsia="方正小标宋简体" w:cs="方正小标宋简体"/>
                <w:b/>
                <w:color w:val="000000"/>
                <w:kern w:val="0"/>
                <w:sz w:val="24"/>
              </w:rPr>
            </w:pPr>
          </w:p>
          <w:p>
            <w:pPr>
              <w:jc w:val="center"/>
              <w:rPr>
                <w:rFonts w:ascii="方正小标宋简体" w:hAnsi="方正小标宋简体" w:eastAsia="方正小标宋简体" w:cs="方正小标宋简体"/>
                <w:b/>
                <w:color w:val="000000"/>
                <w:kern w:val="0"/>
                <w:sz w:val="24"/>
              </w:rPr>
            </w:pPr>
          </w:p>
          <w:p>
            <w:pPr>
              <w:jc w:val="center"/>
              <w:rPr>
                <w:rFonts w:ascii="方正小标宋简体" w:hAnsi="方正小标宋简体" w:eastAsia="方正小标宋简体" w:cs="方正小标宋简体"/>
                <w:b/>
                <w:color w:val="000000"/>
                <w:kern w:val="0"/>
                <w:sz w:val="24"/>
              </w:rPr>
            </w:pPr>
          </w:p>
          <w:p>
            <w:pPr>
              <w:jc w:val="center"/>
              <w:rPr>
                <w:rFonts w:ascii="方正小标宋简体" w:hAnsi="方正小标宋简体" w:eastAsia="方正小标宋简体" w:cs="方正小标宋简体"/>
                <w:b/>
                <w:color w:val="000000"/>
                <w:kern w:val="0"/>
                <w:sz w:val="24"/>
              </w:rPr>
            </w:pPr>
          </w:p>
          <w:p>
            <w:pPr>
              <w:jc w:val="center"/>
              <w:rPr>
                <w:rFonts w:ascii="方正小标宋简体" w:hAnsi="方正小标宋简体" w:eastAsia="方正小标宋简体" w:cs="方正小标宋简体"/>
                <w:b/>
                <w:color w:val="000000"/>
                <w:kern w:val="0"/>
                <w:sz w:val="24"/>
              </w:rPr>
            </w:pPr>
          </w:p>
          <w:p>
            <w:pPr>
              <w:jc w:val="center"/>
              <w:rPr>
                <w:rFonts w:ascii="方正小标宋简体" w:hAnsi="方正小标宋简体" w:eastAsia="方正小标宋简体" w:cs="方正小标宋简体"/>
                <w:b/>
                <w:color w:val="000000"/>
                <w:kern w:val="0"/>
                <w:sz w:val="24"/>
              </w:rPr>
            </w:pPr>
          </w:p>
          <w:p>
            <w:pPr>
              <w:jc w:val="center"/>
              <w:rPr>
                <w:rFonts w:ascii="方正小标宋简体" w:hAnsi="方正小标宋简体" w:eastAsia="方正小标宋简体" w:cs="方正小标宋简体"/>
                <w:b/>
                <w:color w:val="000000"/>
                <w:kern w:val="0"/>
                <w:sz w:val="24"/>
              </w:rPr>
            </w:pPr>
          </w:p>
          <w:p>
            <w:pPr>
              <w:jc w:val="center"/>
              <w:rPr>
                <w:rFonts w:ascii="方正小标宋简体" w:hAnsi="方正小标宋简体" w:eastAsia="方正小标宋简体" w:cs="方正小标宋简体"/>
                <w:b/>
                <w:color w:val="000000"/>
                <w:kern w:val="0"/>
                <w:sz w:val="24"/>
              </w:rPr>
            </w:pPr>
          </w:p>
          <w:p>
            <w:pPr>
              <w:jc w:val="center"/>
              <w:rPr>
                <w:rFonts w:ascii="方正小标宋简体" w:hAnsi="方正小标宋简体" w:eastAsia="方正小标宋简体" w:cs="方正小标宋简体"/>
                <w:b/>
                <w:color w:val="000000"/>
                <w:kern w:val="0"/>
                <w:sz w:val="24"/>
              </w:rPr>
            </w:pPr>
          </w:p>
          <w:p>
            <w:pPr>
              <w:jc w:val="center"/>
              <w:rPr>
                <w:rFonts w:ascii="方正小标宋简体" w:hAnsi="方正小标宋简体" w:eastAsia="方正小标宋简体" w:cs="方正小标宋简体"/>
                <w:b/>
                <w:color w:val="000000"/>
                <w:kern w:val="0"/>
                <w:sz w:val="24"/>
              </w:rPr>
            </w:pPr>
            <w:r>
              <w:rPr>
                <w:rFonts w:ascii="方正小标宋简体" w:hAnsi="方正小标宋简体" w:eastAsia="方正小标宋简体" w:cs="方正小标宋简体"/>
                <w:b/>
                <w:color w:val="000000"/>
                <w:kern w:val="0"/>
                <w:sz w:val="24"/>
              </w:rPr>
              <w:t>思想政治建设和</w:t>
            </w:r>
          </w:p>
          <w:p>
            <w:pPr>
              <w:rPr>
                <w:rFonts w:ascii="方正小标宋简体" w:hAnsi="方正小标宋简体" w:eastAsia="方正小标宋简体" w:cs="方正小标宋简体"/>
                <w:b/>
                <w:color w:val="000000"/>
                <w:sz w:val="24"/>
              </w:rPr>
            </w:pPr>
            <w:r>
              <w:rPr>
                <w:rFonts w:ascii="方正小标宋简体" w:hAnsi="方正小标宋简体" w:eastAsia="方正小标宋简体" w:cs="方正小标宋简体"/>
                <w:b/>
                <w:color w:val="000000"/>
                <w:kern w:val="0"/>
                <w:sz w:val="24"/>
              </w:rPr>
              <w:t>意识形态工作</w:t>
            </w: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9.在开展“为群众办实事示范法院”创建活动中，未落实条线调研指导、督促检查工作，相关工作推进不力的，每项扣0.2分。</w:t>
            </w: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2"/>
                <w:szCs w:val="22"/>
              </w:rPr>
            </w:pPr>
          </w:p>
        </w:tc>
        <w:tc>
          <w:tcPr>
            <w:tcW w:w="112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eastAsia="宋体" w:cs="方正小标宋简体"/>
                <w:b/>
                <w:color w:val="000000"/>
                <w:kern w:val="0"/>
                <w:sz w:val="24"/>
              </w:rPr>
            </w:pPr>
          </w:p>
          <w:p>
            <w:pPr>
              <w:widowControl/>
              <w:textAlignment w:val="center"/>
              <w:rPr>
                <w:rFonts w:ascii="宋体" w:hAnsi="宋体" w:eastAsia="宋体" w:cs="方正小标宋简体"/>
                <w:b/>
                <w:color w:val="000000"/>
                <w:kern w:val="0"/>
                <w:sz w:val="24"/>
              </w:rPr>
            </w:pPr>
            <w:r>
              <w:rPr>
                <w:rFonts w:hint="eastAsia" w:ascii="宋体" w:hAnsi="宋体" w:eastAsia="宋体" w:cs="方正小标宋简体"/>
                <w:b/>
                <w:color w:val="000000"/>
                <w:kern w:val="0"/>
                <w:sz w:val="24"/>
              </w:rPr>
              <w:t>机关党委</w:t>
            </w: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r>
              <w:rPr>
                <w:rFonts w:ascii="宋体" w:hAnsi="宋体" w:eastAsia="宋体" w:cs="方正小标宋简体"/>
                <w:b/>
                <w:color w:val="000000"/>
                <w:kern w:val="0"/>
                <w:sz w:val="24"/>
              </w:rPr>
              <w:pict>
                <v:shape id="_x0000_s1066" o:spid="_x0000_s1066" o:spt="32" type="#_x0000_t32" style="position:absolute;left:0pt;margin-left:0.05pt;margin-top:9.45pt;height:0pt;width:56.65pt;z-index:251662336;mso-width-relative:page;mso-height-relative:page;" o:connectortype="straight" filled="f" coordsize="21600,21600">
                  <v:path arrowok="t"/>
                  <v:fill on="f" focussize="0,0"/>
                  <v:stroke/>
                  <v:imagedata o:title=""/>
                  <o:lock v:ext="edit"/>
                </v:shape>
              </w:pict>
            </w:r>
          </w:p>
          <w:p>
            <w:pPr>
              <w:widowControl/>
              <w:jc w:val="center"/>
              <w:textAlignment w:val="center"/>
              <w:rPr>
                <w:rFonts w:ascii="宋体" w:hAnsi="宋体" w:eastAsia="宋体" w:cs="方正小标宋简体"/>
                <w:b/>
                <w:color w:val="000000"/>
                <w:kern w:val="0"/>
                <w:sz w:val="24"/>
              </w:rPr>
            </w:pPr>
          </w:p>
          <w:p>
            <w:pPr>
              <w:widowControl/>
              <w:ind w:firstLine="241" w:firstLineChars="100"/>
              <w:textAlignment w:val="center"/>
              <w:rPr>
                <w:rFonts w:ascii="宋体" w:hAnsi="宋体" w:eastAsia="宋体" w:cs="方正小标宋简体"/>
                <w:b/>
                <w:color w:val="000000"/>
                <w:kern w:val="0"/>
                <w:sz w:val="24"/>
              </w:rPr>
            </w:pPr>
          </w:p>
          <w:p>
            <w:pPr>
              <w:widowControl/>
              <w:ind w:firstLine="241" w:firstLineChars="100"/>
              <w:textAlignment w:val="center"/>
              <w:rPr>
                <w:rFonts w:ascii="宋体" w:hAnsi="宋体" w:eastAsia="宋体" w:cs="方正小标宋简体"/>
                <w:b/>
                <w:color w:val="000000"/>
                <w:kern w:val="0"/>
                <w:sz w:val="24"/>
              </w:rPr>
            </w:pPr>
            <w:r>
              <w:rPr>
                <w:rFonts w:hint="eastAsia" w:ascii="宋体" w:hAnsi="宋体" w:eastAsia="宋体" w:cs="方正小标宋简体"/>
                <w:b/>
                <w:color w:val="000000"/>
                <w:kern w:val="0"/>
                <w:sz w:val="24"/>
              </w:rPr>
              <w:t>政治部</w:t>
            </w:r>
          </w:p>
          <w:p>
            <w:pPr>
              <w:widowControl/>
              <w:jc w:val="center"/>
              <w:textAlignment w:val="center"/>
              <w:rPr>
                <w:rFonts w:ascii="宋体" w:hAnsi="宋体" w:eastAsia="宋体" w:cs="方正小标宋简体"/>
                <w:b/>
                <w:color w:val="000000"/>
                <w:kern w:val="0"/>
                <w:sz w:val="24"/>
              </w:rPr>
            </w:pPr>
            <w:r>
              <w:rPr>
                <w:rFonts w:hint="eastAsia" w:ascii="宋体" w:hAnsi="宋体" w:eastAsia="宋体" w:cs="方正小标宋简体"/>
                <w:b/>
                <w:color w:val="000000"/>
                <w:kern w:val="0"/>
                <w:sz w:val="24"/>
              </w:rPr>
              <w:t>（督察室）</w:t>
            </w:r>
          </w:p>
          <w:p>
            <w:pPr>
              <w:widowControl/>
              <w:jc w:val="center"/>
              <w:textAlignment w:val="center"/>
              <w:rPr>
                <w:rFonts w:ascii="宋体" w:hAnsi="宋体" w:eastAsia="宋体" w:cs="方正小标宋简体"/>
                <w:b/>
                <w:color w:val="000000"/>
                <w:kern w:val="0"/>
                <w:sz w:val="24"/>
              </w:rPr>
            </w:pPr>
            <w:r>
              <w:rPr>
                <w:rFonts w:hint="eastAsia" w:ascii="宋体" w:hAnsi="宋体" w:eastAsia="宋体" w:cs="方正小标宋简体"/>
                <w:b/>
                <w:color w:val="000000"/>
                <w:kern w:val="0"/>
                <w:sz w:val="24"/>
              </w:rPr>
              <w:t xml:space="preserve"> </w:t>
            </w: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r>
              <w:rPr>
                <w:rFonts w:ascii="宋体" w:hAnsi="宋体" w:eastAsia="宋体" w:cs="方正小标宋简体"/>
                <w:b/>
                <w:color w:val="000000"/>
                <w:kern w:val="0"/>
                <w:sz w:val="24"/>
              </w:rPr>
              <w:pict>
                <v:shape id="_x0000_s1071" o:spid="_x0000_s1071" o:spt="32" type="#_x0000_t32" style="position:absolute;left:0pt;margin-left:0.45pt;margin-top:26.55pt;height:0pt;width:56.65pt;z-index:251665408;mso-width-relative:page;mso-height-relative:page;" o:connectortype="straight" filled="f" coordsize="21600,21600">
                  <v:path arrowok="t"/>
                  <v:fill on="f" focussize="0,0"/>
                  <v:stroke/>
                  <v:imagedata o:title=""/>
                  <o:lock v:ext="edit"/>
                </v:shape>
              </w:pict>
            </w: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r>
              <w:rPr>
                <w:rFonts w:ascii="宋体" w:hAnsi="宋体" w:eastAsia="宋体" w:cs="方正小标宋简体"/>
                <w:b/>
                <w:color w:val="000000"/>
                <w:kern w:val="0"/>
                <w:sz w:val="24"/>
              </w:rPr>
              <w:pict>
                <v:shape id="_x0000_s1067" o:spid="_x0000_s1067" o:spt="32" type="#_x0000_t32" style="position:absolute;left:0pt;margin-left:-0.8pt;margin-top:-16.8pt;height:0pt;width:56.65pt;z-index:251663360;mso-width-relative:page;mso-height-relative:page;" o:connectortype="straight" filled="f" coordsize="21600,21600">
                  <v:path arrowok="t"/>
                  <v:fill on="f" focussize="0,0"/>
                  <v:stroke/>
                  <v:imagedata o:title=""/>
                  <o:lock v:ext="edit"/>
                </v:shape>
              </w:pict>
            </w: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r>
              <w:rPr>
                <w:rFonts w:hint="eastAsia" w:ascii="宋体" w:hAnsi="宋体" w:eastAsia="宋体" w:cs="方正小标宋简体"/>
                <w:b/>
                <w:color w:val="000000"/>
                <w:kern w:val="0"/>
                <w:sz w:val="24"/>
              </w:rPr>
              <w:t>政治部</w:t>
            </w:r>
          </w:p>
          <w:p>
            <w:pPr>
              <w:widowControl/>
              <w:jc w:val="center"/>
              <w:textAlignment w:val="center"/>
              <w:rPr>
                <w:rFonts w:ascii="宋体" w:hAnsi="宋体" w:eastAsia="宋体" w:cs="方正小标宋简体"/>
                <w:b/>
                <w:color w:val="000000"/>
                <w:kern w:val="0"/>
                <w:sz w:val="24"/>
              </w:rPr>
            </w:pPr>
            <w:r>
              <w:rPr>
                <w:rFonts w:hint="eastAsia" w:ascii="宋体" w:hAnsi="宋体" w:eastAsia="宋体" w:cs="方正小标宋简体"/>
                <w:b/>
                <w:color w:val="000000"/>
                <w:kern w:val="0"/>
                <w:sz w:val="24"/>
              </w:rPr>
              <w:t>（督察室）</w:t>
            </w:r>
            <w:r>
              <w:rPr>
                <w:rFonts w:ascii="宋体" w:hAnsi="宋体" w:eastAsia="宋体" w:cs="方正小标宋简体"/>
                <w:b/>
                <w:color w:val="000000"/>
                <w:kern w:val="0"/>
                <w:sz w:val="24"/>
              </w:rPr>
              <w:br w:type="textWrapping"/>
            </w:r>
          </w:p>
          <w:p>
            <w:pPr>
              <w:widowControl/>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r>
              <w:rPr>
                <w:rFonts w:hint="eastAsia" w:ascii="宋体" w:hAnsi="宋体" w:eastAsia="宋体" w:cs="方正小标宋简体"/>
                <w:b/>
                <w:color w:val="000000"/>
                <w:kern w:val="0"/>
                <w:sz w:val="24"/>
              </w:rPr>
              <w:t>政治部</w:t>
            </w:r>
          </w:p>
          <w:p>
            <w:pPr>
              <w:widowControl/>
              <w:jc w:val="center"/>
              <w:textAlignment w:val="center"/>
              <w:rPr>
                <w:rFonts w:ascii="宋体" w:hAnsi="宋体" w:eastAsia="宋体" w:cs="方正小标宋简体"/>
                <w:b/>
                <w:color w:val="000000"/>
                <w:kern w:val="0"/>
                <w:sz w:val="24"/>
              </w:rPr>
            </w:pPr>
            <w:r>
              <w:rPr>
                <w:rFonts w:hint="eastAsia" w:ascii="宋体" w:hAnsi="宋体" w:eastAsia="宋体" w:cs="方正小标宋简体"/>
                <w:b/>
                <w:color w:val="000000"/>
                <w:kern w:val="0"/>
                <w:sz w:val="24"/>
              </w:rPr>
              <w:t>（督察室）</w:t>
            </w: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jc w:val="center"/>
              <w:textAlignment w:val="center"/>
              <w:rPr>
                <w:rFonts w:ascii="方正小标宋简体" w:hAnsi="方正小标宋简体" w:eastAsia="方正小标宋简体" w:cs="方正小标宋简体"/>
                <w:b/>
                <w:color w:val="000000"/>
                <w:sz w:val="24"/>
              </w:rPr>
            </w:pP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u w:val="single"/>
              </w:rPr>
            </w:pPr>
            <w:r>
              <w:rPr>
                <w:rFonts w:hint="eastAsia" w:ascii="宋体" w:hAnsi="宋体" w:eastAsia="宋体" w:cs="宋体"/>
                <w:b/>
                <w:color w:val="000000"/>
                <w:kern w:val="0"/>
                <w:sz w:val="22"/>
                <w:szCs w:val="22"/>
                <w:u w:val="single"/>
              </w:rPr>
              <w:t>删除：各部门应提供会议记录及个人学习笔记（至少两本）等相关佐证材料，无法提供视为未按要求开展相关工作。</w:t>
            </w:r>
          </w:p>
        </w:tc>
      </w:tr>
      <w:tr>
        <w:tblPrEx>
          <w:tblCellMar>
            <w:top w:w="0" w:type="dxa"/>
            <w:left w:w="0" w:type="dxa"/>
            <w:bottom w:w="0" w:type="dxa"/>
            <w:right w:w="0" w:type="dxa"/>
          </w:tblCellMar>
        </w:tblPrEx>
        <w:trPr>
          <w:gridAfter w:val="5"/>
          <w:wAfter w:w="5625" w:type="dxa"/>
          <w:trHeight w:val="965" w:hRule="atLeast"/>
        </w:trPr>
        <w:tc>
          <w:tcPr>
            <w:tcW w:w="47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1680" w:type="dxa"/>
            <w:gridSpan w:val="3"/>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10.未按要求完成政治轮训任务的，每次扣0.2分。</w:t>
            </w: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6.无故未按政治轮训通知要求参加政治轮训的，每次扣 0.05 分。</w:t>
            </w:r>
          </w:p>
        </w:tc>
        <w:tc>
          <w:tcPr>
            <w:tcW w:w="112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方正小标宋简体" w:hAnsi="方正小标宋简体" w:eastAsia="方正小标宋简体" w:cs="方正小标宋简体"/>
                <w:b/>
                <w:color w:val="000000"/>
                <w:sz w:val="24"/>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rPr>
          <w:gridAfter w:val="5"/>
          <w:wAfter w:w="5625" w:type="dxa"/>
          <w:trHeight w:val="1532" w:hRule="atLeast"/>
        </w:trPr>
        <w:tc>
          <w:tcPr>
            <w:tcW w:w="47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1680" w:type="dxa"/>
            <w:gridSpan w:val="3"/>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11.未按要求开展意识形态教育的，扣0.1分；未开展意识形态自查的、未按要求上报自查情况的、报送材料不及时的，每项扣0.1分；未按要求落实干警出版讲学相关活动请示报告制度的，每次扣0.1分。</w:t>
            </w: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p>
        </w:tc>
        <w:tc>
          <w:tcPr>
            <w:tcW w:w="112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方正小标宋简体" w:hAnsi="方正小标宋简体" w:eastAsia="方正小标宋简体" w:cs="方正小标宋简体"/>
                <w:b/>
                <w:color w:val="000000"/>
                <w:sz w:val="24"/>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rPr>
          <w:gridAfter w:val="5"/>
          <w:wAfter w:w="5625" w:type="dxa"/>
          <w:trHeight w:val="1532" w:hRule="atLeast"/>
        </w:trPr>
        <w:tc>
          <w:tcPr>
            <w:tcW w:w="47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1680" w:type="dxa"/>
            <w:gridSpan w:val="3"/>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C00000"/>
                <w:sz w:val="22"/>
                <w:szCs w:val="22"/>
                <w:u w:val="single"/>
              </w:rPr>
            </w:pPr>
            <w:r>
              <w:rPr>
                <w:rFonts w:hint="eastAsia" w:ascii="宋体" w:hAnsi="宋体" w:eastAsia="宋体" w:cs="宋体"/>
                <w:b/>
                <w:color w:val="C00000"/>
                <w:kern w:val="0"/>
                <w:sz w:val="22"/>
                <w:szCs w:val="22"/>
                <w:u w:val="single"/>
              </w:rPr>
              <w:t>删除：11.未积极组织本部门审判专家、业务骨干、办案能手、先进典型承担省法官培训学院教育培训任务的，扣0.2分。</w:t>
            </w: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b/>
                <w:color w:val="C00000"/>
                <w:sz w:val="22"/>
                <w:szCs w:val="22"/>
                <w:u w:val="single"/>
              </w:rPr>
            </w:pPr>
            <w:r>
              <w:rPr>
                <w:rFonts w:hint="eastAsia" w:ascii="宋体" w:hAnsi="宋体" w:eastAsia="宋体" w:cs="宋体"/>
                <w:b/>
                <w:color w:val="C00000"/>
                <w:kern w:val="0"/>
                <w:sz w:val="22"/>
                <w:szCs w:val="22"/>
                <w:u w:val="single"/>
              </w:rPr>
              <w:t>删除：7.作为审判专家、业务骨干、办案能手、先进典型，无故不承担法官培训学院教育培训任务的，扣0.5分。</w:t>
            </w:r>
          </w:p>
        </w:tc>
        <w:tc>
          <w:tcPr>
            <w:tcW w:w="112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方正小标宋简体" w:hAnsi="方正小标宋简体" w:eastAsia="方正小标宋简体" w:cs="方正小标宋简体"/>
                <w:b/>
                <w:color w:val="000000"/>
                <w:sz w:val="24"/>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rPr>
          <w:gridAfter w:val="5"/>
          <w:wAfter w:w="5625" w:type="dxa"/>
          <w:trHeight w:val="799" w:hRule="atLeast"/>
        </w:trPr>
        <w:tc>
          <w:tcPr>
            <w:tcW w:w="47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1680" w:type="dxa"/>
            <w:gridSpan w:val="3"/>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12.未按要求完成国家法官学院组织的培训和调训、省法官培训学院、本院组织的培训任务的，每次扣0.2分。</w:t>
            </w: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7.无故未按要求完成国家法官学院组织的培训和调训、省法官培训学院、本院组织的培训任务的，每次扣 0.05 分。</w:t>
            </w:r>
          </w:p>
          <w:p>
            <w:pPr>
              <w:widowControl/>
              <w:textAlignment w:val="center"/>
              <w:rPr>
                <w:rFonts w:ascii="宋体" w:hAnsi="宋体" w:eastAsia="宋体" w:cs="宋体"/>
                <w:color w:val="000000"/>
                <w:sz w:val="22"/>
                <w:szCs w:val="22"/>
              </w:rPr>
            </w:pPr>
          </w:p>
        </w:tc>
        <w:tc>
          <w:tcPr>
            <w:tcW w:w="112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方正小标宋简体" w:hAnsi="方正小标宋简体" w:eastAsia="方正小标宋简体" w:cs="方正小标宋简体"/>
                <w:b/>
                <w:color w:val="000000"/>
                <w:sz w:val="24"/>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rPr>
          <w:gridAfter w:val="5"/>
          <w:wAfter w:w="5625" w:type="dxa"/>
          <w:trHeight w:val="528" w:hRule="atLeast"/>
        </w:trPr>
        <w:tc>
          <w:tcPr>
            <w:tcW w:w="47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1680" w:type="dxa"/>
            <w:gridSpan w:val="3"/>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13.未按“谁执法谁普法”普法责任制，开展普法“七走进”活动的，扣 0.2分。</w:t>
            </w: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p>
        </w:tc>
        <w:tc>
          <w:tcPr>
            <w:tcW w:w="112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方正小标宋简体" w:hAnsi="方正小标宋简体" w:eastAsia="方正小标宋简体" w:cs="方正小标宋简体"/>
                <w:b/>
                <w:color w:val="000000"/>
                <w:sz w:val="24"/>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rPr>
          <w:gridAfter w:val="5"/>
          <w:wAfter w:w="5625" w:type="dxa"/>
          <w:trHeight w:val="1733" w:hRule="atLeast"/>
        </w:trPr>
        <w:tc>
          <w:tcPr>
            <w:tcW w:w="47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1680" w:type="dxa"/>
            <w:gridSpan w:val="3"/>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14.未开展“双百政法英模”等先进典型学习活动、表彰奖励工作中报送材料不符合要求影响整体工作进度的，每项扣0.2分。</w:t>
            </w: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p>
        </w:tc>
        <w:tc>
          <w:tcPr>
            <w:tcW w:w="112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方正小标宋简体" w:hAnsi="方正小标宋简体" w:eastAsia="方正小标宋简体" w:cs="方正小标宋简体"/>
                <w:b/>
                <w:color w:val="000000"/>
                <w:sz w:val="24"/>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rPr>
          <w:gridAfter w:val="5"/>
          <w:wAfter w:w="5625" w:type="dxa"/>
          <w:trHeight w:val="3105" w:hRule="atLeast"/>
        </w:trPr>
        <w:tc>
          <w:tcPr>
            <w:tcW w:w="47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1680" w:type="dxa"/>
            <w:gridSpan w:val="3"/>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加强意识形态管控，部门因对本部门干警管理不当导致出现妄议中央大政方针、涉及外交国防等敏感话题言论，发表涉党政、涉法重大敏感案事件不当言论，发表“宪政”“三权鼎立”“司法独立”等错误思潮言论，形成负面舆情并造成不良影响的，扣0.5分。部门对本部门干警以公职身份注册的自媒体帐号的管理不当，导致出现不恰当言论或不适当转发、评论，引发负面舆情并造成不良影响的，扣0.5分。</w:t>
            </w: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8.加强意识形态管控，</w:t>
            </w:r>
            <w:r>
              <w:rPr>
                <w:rFonts w:hint="eastAsia" w:ascii="宋体" w:hAnsi="宋体" w:eastAsia="宋体" w:cs="宋体"/>
                <w:b/>
                <w:color w:val="C00000"/>
                <w:kern w:val="0"/>
                <w:sz w:val="22"/>
                <w:szCs w:val="22"/>
                <w:u w:val="single"/>
              </w:rPr>
              <w:t>（删除：全年有部门人员）</w:t>
            </w:r>
            <w:r>
              <w:rPr>
                <w:rFonts w:hint="eastAsia" w:ascii="宋体" w:hAnsi="宋体" w:eastAsia="宋体" w:cs="宋体"/>
                <w:color w:val="000000"/>
                <w:kern w:val="0"/>
                <w:sz w:val="22"/>
                <w:szCs w:val="22"/>
              </w:rPr>
              <w:t>对于发表妄议中央大政方针、涉及外交国防等敏感话题言论，发表涉党政、涉法重大敏感案事件不当言论，发表“宪政”“三权鼎立”“司法独立”等错误思潮言论，形成负面舆情并造成不良影响的，扣0.5分。加强对法院干警以公职身份注册的自媒体帐号的管理，干警通过公职身份注册的自媒体发表不恰当言论或不适当转发、评论，引发负面舆情并造成不良影响的，扣0.5分。</w:t>
            </w:r>
          </w:p>
        </w:tc>
        <w:tc>
          <w:tcPr>
            <w:tcW w:w="112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方正小标宋简体"/>
                <w:b/>
                <w:color w:val="000000"/>
                <w:kern w:val="0"/>
                <w:sz w:val="24"/>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rPr>
          <w:gridAfter w:val="5"/>
          <w:wAfter w:w="5625" w:type="dxa"/>
          <w:trHeight w:val="2087" w:hRule="atLeast"/>
        </w:trPr>
        <w:tc>
          <w:tcPr>
            <w:tcW w:w="47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1680" w:type="dxa"/>
            <w:gridSpan w:val="3"/>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16.各部门应及时向宣传处报送重大敏感案事件“三同步”排查结果，未报送的，每次扣0.1分；发生重大敏感案事件并引发舆情，但未制定“三同步”工作方案的，扣0.2分；重大、敏感、突发案事件未按规定上报，造成重大影响或严重后果的，每次扣0.5分。</w:t>
            </w: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pict>
                <v:shape id="_x0000_s1090" o:spid="_x0000_s1090" o:spt="32" type="#_x0000_t32" style="position:absolute;left:0pt;margin-left:240.1pt;margin-top:-44.6pt;height:0pt;width:55.95pt;z-index:251670528;mso-width-relative:page;mso-height-relative:page;" o:connectortype="straight" filled="f" coordsize="21600,21600">
                  <v:path arrowok="t"/>
                  <v:fill on="f" focussize="0,0"/>
                  <v:stroke/>
                  <v:imagedata o:title=""/>
                  <o:lock v:ext="edit"/>
                </v:shape>
              </w:pict>
            </w:r>
          </w:p>
        </w:tc>
        <w:tc>
          <w:tcPr>
            <w:tcW w:w="112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rPr>
          <w:gridAfter w:val="5"/>
          <w:wAfter w:w="5625" w:type="dxa"/>
          <w:trHeight w:val="974" w:hRule="atLeast"/>
        </w:trPr>
        <w:tc>
          <w:tcPr>
            <w:tcW w:w="47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1680" w:type="dxa"/>
            <w:gridSpan w:val="3"/>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w:t>
            </w:r>
            <w:r>
              <w:rPr>
                <w:rFonts w:hint="eastAsia" w:ascii="宋体" w:hAnsi="宋体" w:eastAsia="宋体" w:cs="宋体"/>
                <w:b/>
                <w:color w:val="C00000"/>
                <w:kern w:val="0"/>
                <w:sz w:val="22"/>
                <w:szCs w:val="22"/>
              </w:rPr>
              <w:t>（</w:t>
            </w:r>
            <w:r>
              <w:rPr>
                <w:rFonts w:hint="eastAsia" w:ascii="宋体" w:hAnsi="宋体" w:eastAsia="宋体" w:cs="宋体"/>
                <w:b/>
                <w:color w:val="C00000"/>
                <w:kern w:val="0"/>
                <w:sz w:val="22"/>
                <w:szCs w:val="22"/>
                <w:u w:val="single"/>
              </w:rPr>
              <w:t>拟改：各业务部门</w:t>
            </w:r>
            <w:r>
              <w:rPr>
                <w:rFonts w:hint="eastAsia" w:ascii="宋体" w:hAnsi="宋体" w:eastAsia="宋体" w:cs="宋体"/>
                <w:b/>
                <w:color w:val="C00000"/>
                <w:kern w:val="0"/>
                <w:sz w:val="22"/>
                <w:szCs w:val="22"/>
              </w:rPr>
              <w:t>）</w:t>
            </w:r>
            <w:r>
              <w:rPr>
                <w:rFonts w:hint="eastAsia" w:ascii="宋体" w:hAnsi="宋体" w:eastAsia="宋体" w:cs="宋体"/>
                <w:color w:val="000000"/>
                <w:kern w:val="0"/>
                <w:sz w:val="22"/>
                <w:szCs w:val="22"/>
              </w:rPr>
              <w:t>每月向宣教处报送总结类、经验类或典型案件剖析等新闻稿件合计不少3篇，且采用不少于3篇，每少一篇扣0.2分。</w:t>
            </w: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p>
        </w:tc>
        <w:tc>
          <w:tcPr>
            <w:tcW w:w="112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rPr>
          <w:gridAfter w:val="5"/>
          <w:wAfter w:w="5625" w:type="dxa"/>
          <w:trHeight w:val="679" w:hRule="atLeast"/>
        </w:trPr>
        <w:tc>
          <w:tcPr>
            <w:tcW w:w="47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1680" w:type="dxa"/>
            <w:gridSpan w:val="3"/>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kern w:val="0"/>
                <w:sz w:val="22"/>
                <w:szCs w:val="22"/>
                <w:u w:val="single"/>
              </w:rPr>
            </w:pPr>
            <w:r>
              <w:rPr>
                <w:rFonts w:hint="eastAsia" w:ascii="宋体" w:hAnsi="宋体" w:eastAsia="宋体" w:cs="宋体"/>
                <w:color w:val="000000"/>
                <w:kern w:val="0"/>
                <w:sz w:val="22"/>
                <w:szCs w:val="22"/>
              </w:rPr>
              <w:t>19.部门未召开专题会议贯彻落实省法院党组关于党风廉政建设和反腐败工作部署的，扣0.1分。</w:t>
            </w:r>
            <w:r>
              <w:rPr>
                <w:rFonts w:hint="eastAsia" w:ascii="宋体" w:hAnsi="宋体" w:eastAsia="宋体" w:cs="宋体"/>
                <w:b/>
                <w:color w:val="C00000"/>
                <w:kern w:val="0"/>
                <w:sz w:val="22"/>
                <w:szCs w:val="22"/>
                <w:u w:val="single"/>
              </w:rPr>
              <w:t>（拟改18.部门负责人年度内向分管领导汇报党风廉政建设和反腐败工作至少两次，缺少一次扣0.1分。）</w:t>
            </w: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p>
        </w:tc>
        <w:tc>
          <w:tcPr>
            <w:tcW w:w="112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rPr>
          <w:gridAfter w:val="5"/>
          <w:wAfter w:w="5625" w:type="dxa"/>
          <w:trHeight w:val="683" w:hRule="atLeast"/>
        </w:trPr>
        <w:tc>
          <w:tcPr>
            <w:tcW w:w="47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1680" w:type="dxa"/>
            <w:gridSpan w:val="3"/>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19.未常态化抓好顽瘴痼疾整治工作的、整治顽瘴痼疾不力的，视情况扣除部门0.1-0.5分。</w:t>
            </w: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r>
              <w:rPr>
                <w:rFonts w:hint="eastAsia" w:ascii="宋体" w:hAnsi="宋体" w:eastAsia="宋体" w:cs="宋体"/>
                <w:color w:val="000000"/>
                <w:kern w:val="0"/>
                <w:sz w:val="22"/>
                <w:szCs w:val="22"/>
              </w:rPr>
              <w:t xml:space="preserve">9.部门人员有“冷横硬推”“吃拿卡要”“庸懒散奢”“庭审不规范”“判后不答疑”“见法官难”“裁判文书不规范”等司法作风方面问题，在机关检查中被要求责令整改、被院领导批评的、会议点名批评的，视情况每人次扣0.1-0.5分；部门人员不如实填报亲属经商办企业、不主动报告或隐瞒近 亲属从事律师执业情况的，每人次扣0.5分；部门人员对举报信件、投诉拒不办（处）理的，每件次扣0.3分。           </w:t>
            </w:r>
          </w:p>
        </w:tc>
        <w:tc>
          <w:tcPr>
            <w:tcW w:w="112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rPr>
          <w:gridAfter w:val="5"/>
          <w:wAfter w:w="5625" w:type="dxa"/>
          <w:trHeight w:val="2245" w:hRule="atLeast"/>
        </w:trPr>
        <w:tc>
          <w:tcPr>
            <w:tcW w:w="47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1680" w:type="dxa"/>
            <w:gridSpan w:val="3"/>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20.部门受到通报批评的，每次扣0.2分；部门人员全年受到谈话提醒、批评教育等诫勉谈话以下组织处理累计3次（含）以上的，扣0.5分。</w:t>
            </w: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xml:space="preserve">10.部门人员被诫勉谈话的，每人次扣0.3分；受到党内警告（行政警告）处分的，视情况每人次扣 0.5分；受到党内严重警告处分的，每人次扣1分；      受到撤销党内职务（行政记大过、记过）处分的，每人次1.5分；受到留党察看（行政撤职、降级）处分的，每人次扣2分；受到刑事处罚的、开除党籍（行政开除）处分的，每人次扣2.5分。      </w:t>
            </w:r>
          </w:p>
        </w:tc>
        <w:tc>
          <w:tcPr>
            <w:tcW w:w="112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rPr>
          <w:gridAfter w:val="5"/>
          <w:wAfter w:w="5625" w:type="dxa"/>
          <w:trHeight w:val="2245" w:hRule="atLeast"/>
        </w:trPr>
        <w:tc>
          <w:tcPr>
            <w:tcW w:w="47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1680" w:type="dxa"/>
            <w:gridSpan w:val="3"/>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eastAsia="宋体" w:cs="宋体"/>
                <w:color w:val="000000"/>
                <w:sz w:val="22"/>
                <w:szCs w:val="22"/>
              </w:rPr>
            </w:pPr>
            <w:r>
              <w:rPr>
                <w:rFonts w:hint="eastAsia" w:ascii="宋体" w:hAnsi="宋体" w:eastAsia="宋体" w:cs="宋体"/>
                <w:color w:val="000000"/>
                <w:kern w:val="0"/>
                <w:sz w:val="22"/>
                <w:szCs w:val="22"/>
              </w:rPr>
              <w:t>21.部门</w:t>
            </w:r>
            <w:r>
              <w:rPr>
                <w:rFonts w:hint="eastAsia" w:ascii="宋体" w:hAnsi="宋体" w:eastAsia="宋体" w:cs="宋体"/>
                <w:b/>
                <w:color w:val="000000"/>
                <w:kern w:val="0"/>
                <w:sz w:val="22"/>
                <w:szCs w:val="22"/>
                <w:u w:val="single"/>
              </w:rPr>
              <w:t>每月（拟改：全年）</w:t>
            </w:r>
            <w:r>
              <w:rPr>
                <w:rFonts w:hint="eastAsia" w:ascii="宋体" w:hAnsi="宋体" w:eastAsia="宋体" w:cs="宋体"/>
                <w:color w:val="000000"/>
                <w:kern w:val="0"/>
                <w:sz w:val="22"/>
                <w:szCs w:val="22"/>
              </w:rPr>
              <w:t>在“三个规定”记录报告平台零报告的，扣0.05分；填报类型错误、填报不规范等其他违反“三个规定”记录报告平台事项的，视情况扣除部门0.01-0.1分。</w:t>
            </w: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在案件审理各个环节、组织生活会、述责述廉会上没有报告本人执行“三个规定”情况的，每人次扣0.1分；违反《吉林省高级人民法院关于防止内部人员过问案件若干规定》和《吉林省高级人民法院法官与律师交往八条禁令》以及本院相关规定的，视情况每人次扣0.3-0.5分；不按照 “三个规定”记录报告平台记录和未如实记录的，每人次扣0.1分；</w:t>
            </w:r>
            <w:r>
              <w:rPr>
                <w:rFonts w:hint="eastAsia" w:ascii="宋体" w:hAnsi="宋体" w:eastAsia="宋体" w:cs="宋体"/>
                <w:b/>
                <w:color w:val="C00000"/>
                <w:kern w:val="0"/>
                <w:sz w:val="22"/>
                <w:szCs w:val="22"/>
                <w:u w:val="single"/>
              </w:rPr>
              <w:t>（删除：未按要求每月在平台更新《三个规定报告表》《近亲属从事律师职业报告表》《人大政协关注报告表》的，每人次扣0.1分。）</w:t>
            </w:r>
          </w:p>
        </w:tc>
        <w:tc>
          <w:tcPr>
            <w:tcW w:w="112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rPr>
          <w:gridAfter w:val="5"/>
          <w:wAfter w:w="5625" w:type="dxa"/>
          <w:trHeight w:val="1112" w:hRule="atLeast"/>
        </w:trPr>
        <w:tc>
          <w:tcPr>
            <w:tcW w:w="478" w:type="dxa"/>
            <w:vMerge w:val="restart"/>
            <w:tcBorders>
              <w:top w:val="single" w:color="auto" w:sz="4" w:space="0"/>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sz w:val="24"/>
              </w:rPr>
            </w:pPr>
            <w:r>
              <w:rPr>
                <w:rFonts w:ascii="方正小标宋简体" w:hAnsi="方正小标宋简体" w:eastAsia="方正小标宋简体" w:cs="方正小标宋简体"/>
                <w:b/>
                <w:color w:val="000000"/>
                <w:kern w:val="0"/>
                <w:sz w:val="24"/>
              </w:rPr>
              <w:pict>
                <v:shape id="_x0000_s1089" o:spid="_x0000_s1089" o:spt="32" type="#_x0000_t32" style="position:absolute;left:0pt;margin-left:-0.35pt;margin-top:359.7pt;height:0pt;width:24.25pt;z-index:251669504;mso-width-relative:page;mso-height-relative:page;" o:connectortype="straight" filled="f" coordsize="21600,21600">
                  <v:path arrowok="t"/>
                  <v:fill on="f" focussize="0,0"/>
                  <v:stroke/>
                  <v:imagedata o:title=""/>
                  <o:lock v:ext="edit"/>
                </v:shape>
              </w:pict>
            </w:r>
            <w:r>
              <w:rPr>
                <w:rFonts w:ascii="方正小标宋简体" w:hAnsi="方正小标宋简体" w:eastAsia="方正小标宋简体" w:cs="方正小标宋简体"/>
                <w:b/>
                <w:color w:val="000000"/>
                <w:kern w:val="0"/>
                <w:sz w:val="24"/>
              </w:rPr>
              <w:t>全面从严</w:t>
            </w:r>
            <w:r>
              <w:rPr>
                <w:rFonts w:ascii="方正小标宋简体" w:hAnsi="方正小标宋简体" w:eastAsia="方正小标宋简体" w:cs="方正小标宋简体"/>
                <w:b/>
                <w:color w:val="000000"/>
                <w:kern w:val="0"/>
                <w:sz w:val="24"/>
              </w:rPr>
              <w:pict>
                <v:shape id="_x0000_s1102" o:spid="_x0000_s1102" o:spt="32" type="#_x0000_t32" style="position:absolute;left:0pt;margin-left:0.2pt;margin-top:-71.9pt;height:0pt;width:109.95pt;z-index:251675648;mso-width-relative:page;mso-height-relative:page;" o:connectortype="straight" filled="f" coordsize="21600,21600">
                  <v:path arrowok="t"/>
                  <v:fill on="f" focussize="0,0"/>
                  <v:stroke/>
                  <v:imagedata o:title=""/>
                  <o:lock v:ext="edit"/>
                </v:shape>
              </w:pict>
            </w:r>
            <w:r>
              <w:rPr>
                <w:rFonts w:ascii="方正小标宋简体" w:hAnsi="方正小标宋简体" w:eastAsia="方正小标宋简体" w:cs="方正小标宋简体"/>
                <w:b/>
                <w:color w:val="000000"/>
                <w:kern w:val="0"/>
                <w:sz w:val="24"/>
              </w:rPr>
              <w:t>治院</w:t>
            </w:r>
          </w:p>
        </w:tc>
        <w:tc>
          <w:tcPr>
            <w:tcW w:w="840" w:type="dxa"/>
            <w:vMerge w:val="restart"/>
            <w:tcBorders>
              <w:top w:val="single" w:color="auto" w:sz="4" w:space="0"/>
              <w:left w:val="single" w:color="000000" w:sz="4" w:space="0"/>
              <w:right w:val="single" w:color="auto"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方正小标宋简体" w:hAnsi="方正小标宋简体" w:eastAsia="方正小标宋简体" w:cs="方正小标宋简体"/>
                <w:b/>
                <w:color w:val="000000"/>
                <w:kern w:val="0"/>
                <w:sz w:val="24"/>
              </w:rPr>
            </w:pPr>
            <w:r>
              <w:rPr>
                <w:rFonts w:hint="eastAsia" w:ascii="方正小标宋简体" w:hAnsi="方正小标宋简体" w:eastAsia="方正小标宋简体" w:cs="方正小标宋简体"/>
                <w:b/>
                <w:color w:val="000000"/>
                <w:kern w:val="0"/>
                <w:sz w:val="24"/>
              </w:rPr>
              <w:t>审务</w:t>
            </w:r>
          </w:p>
          <w:p>
            <w:pPr>
              <w:widowControl/>
              <w:spacing w:line="280" w:lineRule="exact"/>
              <w:jc w:val="center"/>
              <w:textAlignment w:val="center"/>
              <w:rPr>
                <w:rFonts w:ascii="方正小标宋简体" w:hAnsi="方正小标宋简体" w:eastAsia="方正小标宋简体" w:cs="方正小标宋简体"/>
                <w:b/>
                <w:color w:val="000000"/>
                <w:kern w:val="0"/>
                <w:sz w:val="24"/>
              </w:rPr>
            </w:pPr>
            <w:r>
              <w:rPr>
                <w:rFonts w:hint="eastAsia" w:ascii="方正小标宋简体" w:hAnsi="方正小标宋简体" w:eastAsia="方正小标宋简体" w:cs="方正小标宋简体"/>
                <w:b/>
                <w:color w:val="000000"/>
                <w:kern w:val="0"/>
                <w:sz w:val="24"/>
              </w:rPr>
              <w:t>管理</w:t>
            </w:r>
          </w:p>
        </w:tc>
        <w:tc>
          <w:tcPr>
            <w:tcW w:w="840" w:type="dxa"/>
            <w:gridSpan w:val="2"/>
            <w:vMerge w:val="restart"/>
            <w:tcBorders>
              <w:top w:val="single" w:color="auto" w:sz="4" w:space="0"/>
              <w:left w:val="single" w:color="auto"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方正小标宋简体" w:hAnsi="方正小标宋简体" w:eastAsia="方正小标宋简体" w:cs="方正小标宋简体"/>
                <w:b/>
                <w:color w:val="000000"/>
                <w:kern w:val="0"/>
                <w:sz w:val="24"/>
              </w:rPr>
            </w:pPr>
            <w:r>
              <w:rPr>
                <w:rFonts w:hint="eastAsia" w:ascii="方正小标宋简体" w:hAnsi="方正小标宋简体" w:eastAsia="方正小标宋简体" w:cs="方正小标宋简体"/>
                <w:b/>
                <w:color w:val="000000"/>
                <w:kern w:val="0"/>
                <w:sz w:val="24"/>
              </w:rPr>
              <w:t>审务</w:t>
            </w:r>
          </w:p>
          <w:p>
            <w:pPr>
              <w:widowControl/>
              <w:spacing w:line="280" w:lineRule="exact"/>
              <w:jc w:val="center"/>
              <w:textAlignment w:val="center"/>
              <w:rPr>
                <w:rFonts w:ascii="方正小标宋简体" w:hAnsi="方正小标宋简体" w:eastAsia="方正小标宋简体" w:cs="方正小标宋简体"/>
                <w:b/>
                <w:color w:val="000000"/>
                <w:kern w:val="0"/>
                <w:sz w:val="24"/>
              </w:rPr>
            </w:pPr>
            <w:r>
              <w:rPr>
                <w:rFonts w:hint="eastAsia" w:ascii="方正小标宋简体" w:hAnsi="方正小标宋简体" w:eastAsia="方正小标宋简体" w:cs="方正小标宋简体"/>
                <w:b/>
                <w:color w:val="000000"/>
                <w:kern w:val="0"/>
                <w:sz w:val="24"/>
              </w:rPr>
              <w:t>管理</w:t>
            </w:r>
          </w:p>
        </w:tc>
        <w:tc>
          <w:tcPr>
            <w:tcW w:w="5894"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17.未按要求完成节点性、阶段性审判管理工作任务的，每次扣0.1分。</w:t>
            </w:r>
          </w:p>
        </w:tc>
        <w:tc>
          <w:tcPr>
            <w:tcW w:w="4830"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rPr>
                <w:rFonts w:ascii="宋体" w:hAnsi="宋体" w:eastAsia="宋体" w:cs="宋体"/>
                <w:color w:val="000000"/>
                <w:sz w:val="22"/>
                <w:szCs w:val="22"/>
              </w:rPr>
            </w:pPr>
            <w:r>
              <w:rPr>
                <w:rFonts w:hint="eastAsia" w:ascii="宋体" w:hAnsi="宋体" w:eastAsia="宋体" w:cs="宋体"/>
                <w:color w:val="000000"/>
                <w:sz w:val="22"/>
                <w:szCs w:val="22"/>
              </w:rPr>
              <w:t>12.未按时向智能审判辅助中心移交诉讼材料的，或移交的诉讼材料不齐全、不规范的，每次扣0.1分。</w:t>
            </w:r>
          </w:p>
        </w:tc>
        <w:tc>
          <w:tcPr>
            <w:tcW w:w="1125" w:type="dxa"/>
            <w:vMerge w:val="restart"/>
            <w:tcBorders>
              <w:top w:val="single" w:color="auto"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方正小标宋简体"/>
                <w:b/>
                <w:color w:val="000000"/>
                <w:kern w:val="0"/>
                <w:sz w:val="24"/>
              </w:rPr>
            </w:pPr>
            <w:r>
              <w:rPr>
                <w:rFonts w:hint="eastAsia" w:ascii="宋体" w:hAnsi="宋体" w:eastAsia="宋体" w:cs="方正小标宋简体"/>
                <w:b/>
                <w:color w:val="000000"/>
                <w:kern w:val="0"/>
                <w:sz w:val="24"/>
              </w:rPr>
              <w:t>审管办</w:t>
            </w:r>
          </w:p>
          <w:p>
            <w:pPr>
              <w:widowControl/>
              <w:jc w:val="center"/>
              <w:textAlignment w:val="center"/>
              <w:rPr>
                <w:rFonts w:ascii="宋体" w:hAnsi="宋体" w:eastAsia="宋体" w:cs="方正小标宋简体"/>
                <w:b/>
                <w:color w:val="000000"/>
                <w:kern w:val="0"/>
                <w:sz w:val="24"/>
              </w:rPr>
            </w:pPr>
            <w:r>
              <w:rPr>
                <w:rFonts w:hint="eastAsia" w:ascii="宋体" w:hAnsi="宋体" w:eastAsia="宋体" w:cs="方正小标宋简体"/>
                <w:b/>
                <w:color w:val="000000"/>
                <w:kern w:val="0"/>
                <w:sz w:val="24"/>
              </w:rPr>
              <w:t>（研究室）</w:t>
            </w:r>
          </w:p>
        </w:tc>
        <w:tc>
          <w:tcPr>
            <w:tcW w:w="1134" w:type="dxa"/>
            <w:tcBorders>
              <w:top w:val="single" w:color="auto"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80" w:lineRule="exact"/>
              <w:jc w:val="center"/>
              <w:rPr>
                <w:rFonts w:ascii="方正小标宋简体" w:hAnsi="方正小标宋简体" w:eastAsia="方正小标宋简体" w:cs="方正小标宋简体"/>
                <w:color w:val="000000"/>
                <w:sz w:val="24"/>
              </w:rPr>
            </w:pPr>
          </w:p>
        </w:tc>
      </w:tr>
      <w:tr>
        <w:tblPrEx>
          <w:tblCellMar>
            <w:top w:w="0" w:type="dxa"/>
            <w:left w:w="0" w:type="dxa"/>
            <w:bottom w:w="0" w:type="dxa"/>
            <w:right w:w="0" w:type="dxa"/>
          </w:tblCellMar>
        </w:tblPrEx>
        <w:trPr>
          <w:gridAfter w:val="5"/>
          <w:wAfter w:w="5625" w:type="dxa"/>
          <w:trHeight w:val="957" w:hRule="atLeast"/>
        </w:trPr>
        <w:tc>
          <w:tcPr>
            <w:tcW w:w="478"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
                <w:color w:val="000000"/>
                <w:sz w:val="24"/>
              </w:rPr>
            </w:pPr>
          </w:p>
        </w:tc>
        <w:tc>
          <w:tcPr>
            <w:tcW w:w="840" w:type="dxa"/>
            <w:vMerge w:val="continue"/>
            <w:tcBorders>
              <w:left w:val="single" w:color="000000" w:sz="4" w:space="0"/>
              <w:right w:val="single" w:color="auto"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方正小标宋简体" w:hAnsi="方正小标宋简体" w:eastAsia="方正小标宋简体" w:cs="方正小标宋简体"/>
                <w:b/>
                <w:color w:val="000000"/>
                <w:kern w:val="0"/>
                <w:sz w:val="24"/>
              </w:rPr>
            </w:pPr>
          </w:p>
        </w:tc>
        <w:tc>
          <w:tcPr>
            <w:tcW w:w="840" w:type="dxa"/>
            <w:gridSpan w:val="2"/>
            <w:vMerge w:val="continue"/>
            <w:tcBorders>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方正小标宋简体" w:hAnsi="方正小标宋简体" w:eastAsia="方正小标宋简体" w:cs="方正小标宋简体"/>
                <w:b/>
                <w:color w:val="000000"/>
                <w:kern w:val="0"/>
                <w:sz w:val="24"/>
              </w:rPr>
            </w:pPr>
          </w:p>
        </w:tc>
        <w:tc>
          <w:tcPr>
            <w:tcW w:w="5894"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spacing w:line="280" w:lineRule="exact"/>
              <w:rPr>
                <w:rFonts w:ascii="宋体" w:hAnsi="宋体" w:eastAsia="宋体" w:cs="宋体"/>
                <w:b/>
                <w:color w:val="000000"/>
                <w:sz w:val="22"/>
                <w:szCs w:val="22"/>
              </w:rPr>
            </w:pPr>
            <w:r>
              <w:rPr>
                <w:rFonts w:hint="eastAsia" w:ascii="宋体" w:hAnsi="宋体" w:eastAsia="宋体" w:cs="宋体"/>
                <w:b/>
                <w:color w:val="000000"/>
                <w:sz w:val="22"/>
                <w:szCs w:val="22"/>
              </w:rPr>
              <w:t>18新增</w:t>
            </w:r>
            <w:r>
              <w:rPr>
                <w:rFonts w:hint="eastAsia" w:ascii="宋体" w:hAnsi="宋体" w:eastAsia="宋体" w:cs="宋体"/>
                <w:b/>
                <w:color w:val="C00000"/>
                <w:sz w:val="22"/>
                <w:szCs w:val="22"/>
              </w:rPr>
              <w:t>：</w:t>
            </w:r>
            <w:r>
              <w:rPr>
                <w:rFonts w:hint="eastAsia" w:ascii="宋体" w:hAnsi="宋体" w:eastAsia="宋体" w:cs="宋体"/>
                <w:b/>
                <w:color w:val="C00000"/>
                <w:kern w:val="0"/>
                <w:sz w:val="22"/>
                <w:szCs w:val="22"/>
              </w:rPr>
              <w:t>各部门要按时保质完成上级部门组织的优秀裁判文书评选工作，事涉部门未完成的每次扣0.1分。</w:t>
            </w:r>
          </w:p>
        </w:tc>
        <w:tc>
          <w:tcPr>
            <w:tcW w:w="483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rPr>
                <w:rFonts w:ascii="宋体" w:hAnsi="宋体" w:eastAsia="宋体" w:cs="宋体"/>
                <w:b/>
                <w:color w:val="C00000"/>
                <w:sz w:val="22"/>
                <w:szCs w:val="22"/>
                <w:u w:val="single"/>
              </w:rPr>
            </w:pPr>
            <w:r>
              <w:rPr>
                <w:rFonts w:hint="eastAsia" w:ascii="宋体" w:hAnsi="宋体" w:eastAsia="宋体" w:cs="宋体"/>
                <w:b/>
                <w:color w:val="C00000"/>
                <w:sz w:val="22"/>
                <w:szCs w:val="22"/>
                <w:u w:val="single"/>
              </w:rPr>
              <w:t>删除：14.员额法官未按季度要求每人提交3篇优秀裁判文书最低指标的，每少一篇扣0.2分。</w:t>
            </w:r>
          </w:p>
        </w:tc>
        <w:tc>
          <w:tcPr>
            <w:tcW w:w="112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方正小标宋简体" w:hAnsi="方正小标宋简体" w:eastAsia="方正小标宋简体" w:cs="方正小标宋简体"/>
                <w:b/>
                <w:color w:val="000000"/>
                <w:kern w:val="0"/>
                <w:sz w:val="24"/>
              </w:rPr>
            </w:pPr>
          </w:p>
        </w:tc>
        <w:tc>
          <w:tcPr>
            <w:tcW w:w="1134"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80" w:lineRule="exact"/>
              <w:jc w:val="center"/>
              <w:rPr>
                <w:rFonts w:ascii="方正小标宋简体" w:hAnsi="方正小标宋简体" w:eastAsia="方正小标宋简体" w:cs="方正小标宋简体"/>
                <w:color w:val="000000"/>
                <w:sz w:val="24"/>
              </w:rPr>
            </w:pPr>
          </w:p>
        </w:tc>
      </w:tr>
      <w:tr>
        <w:trPr>
          <w:gridAfter w:val="5"/>
          <w:wAfter w:w="5625" w:type="dxa"/>
          <w:trHeight w:val="957" w:hRule="atLeast"/>
        </w:trPr>
        <w:tc>
          <w:tcPr>
            <w:tcW w:w="478"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
                <w:color w:val="000000"/>
                <w:sz w:val="24"/>
              </w:rPr>
            </w:pPr>
          </w:p>
        </w:tc>
        <w:tc>
          <w:tcPr>
            <w:tcW w:w="840" w:type="dxa"/>
            <w:vMerge w:val="continue"/>
            <w:tcBorders>
              <w:left w:val="single" w:color="000000" w:sz="4" w:space="0"/>
              <w:right w:val="single" w:color="auto"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方正小标宋简体" w:hAnsi="方正小标宋简体" w:eastAsia="方正小标宋简体" w:cs="方正小标宋简体"/>
                <w:b/>
                <w:color w:val="000000"/>
                <w:kern w:val="0"/>
                <w:sz w:val="24"/>
              </w:rPr>
            </w:pPr>
          </w:p>
        </w:tc>
        <w:tc>
          <w:tcPr>
            <w:tcW w:w="840" w:type="dxa"/>
            <w:gridSpan w:val="2"/>
            <w:vMerge w:val="continue"/>
            <w:tcBorders>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方正小标宋简体" w:hAnsi="方正小标宋简体" w:eastAsia="方正小标宋简体" w:cs="方正小标宋简体"/>
                <w:b/>
                <w:color w:val="000000"/>
                <w:kern w:val="0"/>
                <w:sz w:val="24"/>
              </w:rPr>
            </w:pPr>
          </w:p>
        </w:tc>
        <w:tc>
          <w:tcPr>
            <w:tcW w:w="5894"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spacing w:line="280" w:lineRule="exact"/>
              <w:rPr>
                <w:rFonts w:ascii="宋体" w:hAnsi="宋体" w:eastAsia="宋体" w:cs="宋体"/>
                <w:b/>
                <w:color w:val="000000"/>
                <w:sz w:val="22"/>
                <w:szCs w:val="22"/>
              </w:rPr>
            </w:pPr>
            <w:r>
              <w:rPr>
                <w:rFonts w:hint="eastAsia" w:ascii="宋体" w:hAnsi="宋体" w:eastAsia="宋体" w:cs="宋体"/>
                <w:b/>
                <w:color w:val="000000"/>
                <w:sz w:val="22"/>
                <w:szCs w:val="22"/>
              </w:rPr>
              <w:t>19.</w:t>
            </w:r>
            <w:r>
              <w:rPr>
                <w:rFonts w:hint="eastAsia" w:ascii="宋体" w:hAnsi="宋体" w:eastAsia="宋体" w:cs="宋体"/>
                <w:b/>
                <w:color w:val="C00000"/>
                <w:sz w:val="22"/>
                <w:szCs w:val="22"/>
              </w:rPr>
              <w:t>新增：</w:t>
            </w:r>
            <w:r>
              <w:rPr>
                <w:rFonts w:hint="eastAsia" w:ascii="宋体" w:hAnsi="宋体" w:eastAsia="宋体" w:cs="宋体"/>
                <w:b/>
                <w:color w:val="C00000"/>
                <w:kern w:val="0"/>
                <w:sz w:val="22"/>
                <w:szCs w:val="22"/>
              </w:rPr>
              <w:t>各部门要按时保质完成上级部门组织的优秀庭审评选工作，事涉部门未完成的每次扣0.1分。</w:t>
            </w:r>
          </w:p>
        </w:tc>
        <w:tc>
          <w:tcPr>
            <w:tcW w:w="483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rPr>
                <w:rFonts w:ascii="宋体" w:hAnsi="宋体" w:eastAsia="宋体" w:cs="宋体"/>
                <w:b/>
                <w:color w:val="C00000"/>
                <w:sz w:val="22"/>
                <w:szCs w:val="22"/>
                <w:u w:val="single"/>
              </w:rPr>
            </w:pPr>
            <w:r>
              <w:rPr>
                <w:rFonts w:hint="eastAsia" w:ascii="宋体" w:hAnsi="宋体" w:eastAsia="宋体" w:cs="宋体"/>
                <w:b/>
                <w:color w:val="C00000"/>
                <w:sz w:val="22"/>
                <w:szCs w:val="22"/>
                <w:u w:val="single"/>
              </w:rPr>
              <w:t>删除：15.员额法官未按季度要求每人提交3篇优秀庭审最低指标的，每少一篇扣0.2分。</w:t>
            </w:r>
          </w:p>
        </w:tc>
        <w:tc>
          <w:tcPr>
            <w:tcW w:w="112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方正小标宋简体" w:hAnsi="方正小标宋简体" w:eastAsia="方正小标宋简体" w:cs="方正小标宋简体"/>
                <w:b/>
                <w:color w:val="000000"/>
                <w:kern w:val="0"/>
                <w:sz w:val="24"/>
              </w:rPr>
            </w:pPr>
          </w:p>
        </w:tc>
        <w:tc>
          <w:tcPr>
            <w:tcW w:w="1134"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80" w:lineRule="exact"/>
              <w:jc w:val="center"/>
              <w:rPr>
                <w:rFonts w:ascii="方正小标宋简体" w:hAnsi="方正小标宋简体" w:eastAsia="方正小标宋简体" w:cs="方正小标宋简体"/>
                <w:color w:val="000000"/>
                <w:sz w:val="24"/>
              </w:rPr>
            </w:pPr>
          </w:p>
        </w:tc>
      </w:tr>
      <w:tr>
        <w:trPr>
          <w:gridAfter w:val="5"/>
          <w:wAfter w:w="5625" w:type="dxa"/>
          <w:trHeight w:val="957" w:hRule="atLeast"/>
        </w:trPr>
        <w:tc>
          <w:tcPr>
            <w:tcW w:w="478"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
                <w:color w:val="000000"/>
                <w:sz w:val="24"/>
              </w:rPr>
            </w:pPr>
          </w:p>
        </w:tc>
        <w:tc>
          <w:tcPr>
            <w:tcW w:w="840" w:type="dxa"/>
            <w:vMerge w:val="continue"/>
            <w:tcBorders>
              <w:left w:val="single" w:color="000000" w:sz="4" w:space="0"/>
              <w:right w:val="single" w:color="auto"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方正小标宋简体" w:hAnsi="方正小标宋简体" w:eastAsia="方正小标宋简体" w:cs="方正小标宋简体"/>
                <w:b/>
                <w:color w:val="000000"/>
                <w:kern w:val="0"/>
                <w:sz w:val="24"/>
              </w:rPr>
            </w:pPr>
          </w:p>
        </w:tc>
        <w:tc>
          <w:tcPr>
            <w:tcW w:w="840" w:type="dxa"/>
            <w:gridSpan w:val="2"/>
            <w:vMerge w:val="continue"/>
            <w:tcBorders>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方正小标宋简体" w:hAnsi="方正小标宋简体" w:eastAsia="方正小标宋简体" w:cs="方正小标宋简体"/>
                <w:b/>
                <w:color w:val="000000"/>
                <w:kern w:val="0"/>
                <w:sz w:val="24"/>
              </w:rPr>
            </w:pPr>
          </w:p>
        </w:tc>
        <w:tc>
          <w:tcPr>
            <w:tcW w:w="5894"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eastAsia="宋体" w:cs="宋体"/>
                <w:color w:val="C00000"/>
                <w:kern w:val="0"/>
                <w:sz w:val="22"/>
                <w:szCs w:val="22"/>
              </w:rPr>
            </w:pPr>
          </w:p>
        </w:tc>
        <w:tc>
          <w:tcPr>
            <w:tcW w:w="483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rPr>
                <w:rFonts w:ascii="宋体" w:hAnsi="宋体" w:eastAsia="宋体" w:cs="宋体"/>
                <w:b/>
                <w:color w:val="000000"/>
                <w:sz w:val="22"/>
                <w:szCs w:val="22"/>
              </w:rPr>
            </w:pPr>
            <w:r>
              <w:rPr>
                <w:rFonts w:hint="eastAsia" w:ascii="宋体" w:hAnsi="宋体" w:eastAsia="宋体" w:cs="宋体"/>
                <w:b/>
                <w:color w:val="C00000"/>
                <w:kern w:val="0"/>
                <w:sz w:val="22"/>
                <w:szCs w:val="22"/>
              </w:rPr>
              <w:t>16.诉讼档案（包括纸质档案和电子档案）严格按照立卷规范整理装订，出现正、副卷材料混排或装订错误的，每卷扣归档部门0.2分，造成不良后果的，每次扣0.5分。</w:t>
            </w:r>
          </w:p>
        </w:tc>
        <w:tc>
          <w:tcPr>
            <w:tcW w:w="112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方正小标宋简体" w:hAnsi="方正小标宋简体" w:eastAsia="方正小标宋简体" w:cs="方正小标宋简体"/>
                <w:b/>
                <w:color w:val="000000"/>
                <w:kern w:val="0"/>
                <w:sz w:val="24"/>
              </w:rPr>
            </w:pPr>
          </w:p>
        </w:tc>
        <w:tc>
          <w:tcPr>
            <w:tcW w:w="1134"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80" w:lineRule="exact"/>
              <w:jc w:val="center"/>
              <w:rPr>
                <w:rFonts w:ascii="方正小标宋简体" w:hAnsi="方正小标宋简体" w:eastAsia="方正小标宋简体" w:cs="方正小标宋简体"/>
                <w:color w:val="000000"/>
                <w:sz w:val="24"/>
              </w:rPr>
            </w:pPr>
          </w:p>
        </w:tc>
      </w:tr>
      <w:tr>
        <w:trPr>
          <w:gridAfter w:val="5"/>
          <w:wAfter w:w="5625" w:type="dxa"/>
          <w:trHeight w:val="982" w:hRule="atLeast"/>
        </w:trPr>
        <w:tc>
          <w:tcPr>
            <w:tcW w:w="478"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
                <w:color w:val="000000"/>
                <w:sz w:val="24"/>
              </w:rPr>
            </w:pPr>
          </w:p>
        </w:tc>
        <w:tc>
          <w:tcPr>
            <w:tcW w:w="840" w:type="dxa"/>
            <w:vMerge w:val="continue"/>
            <w:tcBorders>
              <w:left w:val="single" w:color="000000" w:sz="4" w:space="0"/>
              <w:right w:val="single" w:color="auto"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方正小标宋简体" w:hAnsi="方正小标宋简体" w:eastAsia="方正小标宋简体" w:cs="方正小标宋简体"/>
                <w:b/>
                <w:color w:val="000000"/>
                <w:kern w:val="0"/>
                <w:sz w:val="24"/>
              </w:rPr>
            </w:pPr>
          </w:p>
        </w:tc>
        <w:tc>
          <w:tcPr>
            <w:tcW w:w="840" w:type="dxa"/>
            <w:gridSpan w:val="2"/>
            <w:vMerge w:val="continue"/>
            <w:tcBorders>
              <w:top w:val="single" w:color="auto" w:sz="4" w:space="0"/>
              <w:left w:val="single" w:color="auto"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方正小标宋简体" w:hAnsi="方正小标宋简体" w:eastAsia="方正小标宋简体" w:cs="方正小标宋简体"/>
                <w:b/>
                <w:color w:val="000000"/>
                <w:kern w:val="0"/>
                <w:sz w:val="24"/>
              </w:rPr>
            </w:pPr>
          </w:p>
        </w:tc>
        <w:tc>
          <w:tcPr>
            <w:tcW w:w="589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eastAsia="宋体" w:cs="宋体"/>
                <w:color w:val="000000"/>
                <w:kern w:val="0"/>
                <w:sz w:val="22"/>
                <w:szCs w:val="22"/>
              </w:rPr>
            </w:pP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rPr>
                <w:rFonts w:ascii="宋体" w:hAnsi="宋体" w:eastAsia="宋体" w:cs="宋体"/>
                <w:b/>
                <w:color w:val="000000"/>
                <w:sz w:val="22"/>
                <w:szCs w:val="22"/>
              </w:rPr>
            </w:pPr>
            <w:r>
              <w:rPr>
                <w:rFonts w:hint="eastAsia" w:ascii="宋体" w:hAnsi="宋体" w:eastAsia="宋体" w:cs="宋体"/>
                <w:b/>
                <w:color w:val="C00000"/>
                <w:kern w:val="0"/>
                <w:sz w:val="22"/>
                <w:szCs w:val="22"/>
              </w:rPr>
              <w:t>17.借阅、调阅纸质诉讼档案逾期（六个月）未归还的，每卷扣0.2分；借阅期间造成卷宗缺失或失泄密事件的，每次扣0.5分。</w:t>
            </w:r>
          </w:p>
        </w:tc>
        <w:tc>
          <w:tcPr>
            <w:tcW w:w="112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方正小标宋简体" w:hAnsi="方正小标宋简体" w:eastAsia="方正小标宋简体" w:cs="方正小标宋简体"/>
                <w:b/>
                <w:color w:val="000000"/>
                <w:kern w:val="0"/>
                <w:sz w:val="24"/>
              </w:rPr>
            </w:pPr>
          </w:p>
        </w:tc>
        <w:tc>
          <w:tcPr>
            <w:tcW w:w="1134"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80" w:lineRule="exact"/>
              <w:jc w:val="center"/>
              <w:rPr>
                <w:rFonts w:ascii="方正小标宋简体" w:hAnsi="方正小标宋简体" w:eastAsia="方正小标宋简体" w:cs="方正小标宋简体"/>
                <w:color w:val="000000"/>
                <w:sz w:val="24"/>
              </w:rPr>
            </w:pPr>
          </w:p>
        </w:tc>
      </w:tr>
      <w:tr>
        <w:trPr>
          <w:gridAfter w:val="5"/>
          <w:wAfter w:w="5625" w:type="dxa"/>
          <w:trHeight w:val="2599" w:hRule="atLeast"/>
        </w:trPr>
        <w:tc>
          <w:tcPr>
            <w:tcW w:w="478"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
                <w:color w:val="000000"/>
                <w:sz w:val="24"/>
              </w:rPr>
            </w:pPr>
          </w:p>
        </w:tc>
        <w:tc>
          <w:tcPr>
            <w:tcW w:w="84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方正小标宋简体" w:hAnsi="方正小标宋简体" w:eastAsia="方正小标宋简体" w:cs="方正小标宋简体"/>
                <w:b/>
                <w:color w:val="000000"/>
                <w:kern w:val="0"/>
                <w:sz w:val="24"/>
              </w:rPr>
            </w:pPr>
          </w:p>
        </w:tc>
        <w:tc>
          <w:tcPr>
            <w:tcW w:w="840" w:type="dxa"/>
            <w:gridSpan w:val="2"/>
            <w:vMerge w:val="restart"/>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方正小标宋简体" w:hAnsi="方正小标宋简体" w:eastAsia="方正小标宋简体" w:cs="方正小标宋简体"/>
                <w:b/>
                <w:color w:val="000000"/>
                <w:kern w:val="0"/>
                <w:sz w:val="24"/>
              </w:rPr>
            </w:pPr>
            <w:r>
              <w:rPr>
                <w:rFonts w:hint="eastAsia" w:ascii="方正小标宋简体" w:hAnsi="方正小标宋简体" w:eastAsia="方正小标宋简体" w:cs="方正小标宋简体"/>
                <w:b/>
                <w:color w:val="000000"/>
                <w:kern w:val="0"/>
                <w:sz w:val="24"/>
              </w:rPr>
              <w:t>司法研究工作</w:t>
            </w:r>
          </w:p>
          <w:p>
            <w:pPr>
              <w:widowControl/>
              <w:spacing w:line="280" w:lineRule="exact"/>
              <w:jc w:val="center"/>
              <w:textAlignment w:val="center"/>
              <w:rPr>
                <w:rFonts w:ascii="方正小标宋简体" w:hAnsi="方正小标宋简体" w:eastAsia="方正小标宋简体" w:cs="方正小标宋简体"/>
                <w:b/>
                <w:color w:val="000000"/>
                <w:kern w:val="0"/>
                <w:sz w:val="24"/>
              </w:rPr>
            </w:pP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rPr>
                <w:rFonts w:ascii="宋体" w:hAnsi="宋体" w:eastAsia="宋体" w:cs="宋体"/>
                <w:color w:val="C00000"/>
                <w:sz w:val="22"/>
                <w:szCs w:val="22"/>
              </w:rPr>
            </w:pPr>
            <w:r>
              <w:rPr>
                <w:rFonts w:hint="eastAsia" w:ascii="宋体" w:hAnsi="宋体" w:eastAsia="宋体" w:cs="宋体"/>
                <w:color w:val="000000"/>
                <w:kern w:val="0"/>
                <w:sz w:val="22"/>
                <w:szCs w:val="22"/>
              </w:rPr>
              <w:t>24.各部门要按时保质完成上级部门组织的综合性重点调研课题，事涉部门未完成的每次扣0.1分；刑事、民事、行政、审判监督各业务部门每季度完成调研课题1个，题目及研究方向，各部门结合工作实际自拟，未完成的每次扣0.1分；刑事、民事、行政、审判监督各业务部门承担上级部门组织的综合性重点调研课题的，折抵该季度课题任务。</w:t>
            </w:r>
            <w:r>
              <w:rPr>
                <w:rFonts w:hint="eastAsia" w:ascii="宋体" w:hAnsi="宋体" w:eastAsia="宋体" w:cs="宋体"/>
                <w:b/>
                <w:color w:val="C00000"/>
                <w:sz w:val="22"/>
                <w:szCs w:val="22"/>
                <w:u w:val="single"/>
              </w:rPr>
              <w:t>20.拟改：</w:t>
            </w:r>
            <w:r>
              <w:rPr>
                <w:rFonts w:hint="eastAsia" w:ascii="宋体" w:hAnsi="宋体" w:eastAsia="宋体" w:cs="宋体"/>
                <w:b/>
                <w:color w:val="C00000"/>
                <w:kern w:val="0"/>
                <w:sz w:val="22"/>
                <w:szCs w:val="22"/>
                <w:u w:val="single"/>
              </w:rPr>
              <w:t>各部门要按时保质完成上级部门组织的综合性重点调研课题，事涉部门未完成的每次扣0.1分。</w:t>
            </w: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rPr>
                <w:rFonts w:ascii="宋体" w:hAnsi="宋体" w:eastAsia="宋体" w:cs="宋体"/>
                <w:color w:val="000000"/>
                <w:sz w:val="22"/>
                <w:szCs w:val="22"/>
              </w:rPr>
            </w:pPr>
          </w:p>
        </w:tc>
        <w:tc>
          <w:tcPr>
            <w:tcW w:w="112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r>
              <w:rPr>
                <w:rFonts w:hint="eastAsia" w:ascii="宋体" w:hAnsi="宋体" w:eastAsia="宋体" w:cs="方正小标宋简体"/>
                <w:b/>
                <w:color w:val="000000"/>
                <w:kern w:val="0"/>
                <w:sz w:val="24"/>
              </w:rPr>
              <w:t>审管办</w:t>
            </w:r>
          </w:p>
          <w:p>
            <w:pPr>
              <w:widowControl/>
              <w:jc w:val="center"/>
              <w:textAlignment w:val="center"/>
              <w:rPr>
                <w:rFonts w:ascii="宋体" w:hAnsi="宋体" w:eastAsia="宋体" w:cs="方正小标宋简体"/>
                <w:b/>
                <w:color w:val="000000"/>
                <w:kern w:val="0"/>
                <w:sz w:val="24"/>
              </w:rPr>
            </w:pPr>
            <w:r>
              <w:rPr>
                <w:rFonts w:hint="eastAsia" w:ascii="宋体" w:hAnsi="宋体" w:eastAsia="宋体" w:cs="方正小标宋简体"/>
                <w:b/>
                <w:color w:val="000000"/>
                <w:kern w:val="0"/>
                <w:sz w:val="24"/>
              </w:rPr>
              <w:t>（研究室）</w:t>
            </w: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r>
              <w:rPr>
                <w:rFonts w:hint="eastAsia" w:ascii="宋体" w:hAnsi="宋体" w:eastAsia="宋体" w:cs="方正小标宋简体"/>
                <w:b/>
                <w:color w:val="000000"/>
                <w:kern w:val="0"/>
                <w:sz w:val="24"/>
              </w:rPr>
              <w:t>审管办</w:t>
            </w:r>
          </w:p>
          <w:p>
            <w:pPr>
              <w:widowControl/>
              <w:jc w:val="center"/>
              <w:textAlignment w:val="center"/>
              <w:rPr>
                <w:rFonts w:ascii="宋体" w:hAnsi="宋体" w:eastAsia="宋体" w:cs="方正小标宋简体"/>
                <w:b/>
                <w:color w:val="000000"/>
                <w:kern w:val="0"/>
                <w:sz w:val="24"/>
              </w:rPr>
            </w:pPr>
            <w:r>
              <w:rPr>
                <w:rFonts w:hint="eastAsia" w:ascii="宋体" w:hAnsi="宋体" w:eastAsia="宋体" w:cs="方正小标宋简体"/>
                <w:b/>
                <w:color w:val="000000"/>
                <w:kern w:val="0"/>
                <w:sz w:val="24"/>
              </w:rPr>
              <w:t>（研究室）</w:t>
            </w:r>
          </w:p>
        </w:tc>
        <w:tc>
          <w:tcPr>
            <w:tcW w:w="1134"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80" w:lineRule="exact"/>
              <w:jc w:val="center"/>
              <w:rPr>
                <w:rFonts w:ascii="方正小标宋简体" w:hAnsi="方正小标宋简体" w:eastAsia="方正小标宋简体" w:cs="方正小标宋简体"/>
                <w:color w:val="000000"/>
                <w:sz w:val="24"/>
              </w:rPr>
            </w:pPr>
          </w:p>
        </w:tc>
      </w:tr>
      <w:tr>
        <w:tblPrEx>
          <w:tblCellMar>
            <w:top w:w="0" w:type="dxa"/>
            <w:left w:w="0" w:type="dxa"/>
            <w:bottom w:w="0" w:type="dxa"/>
            <w:right w:w="0" w:type="dxa"/>
          </w:tblCellMar>
        </w:tblPrEx>
        <w:trPr>
          <w:gridAfter w:val="5"/>
          <w:wAfter w:w="5625" w:type="dxa"/>
          <w:trHeight w:val="839" w:hRule="atLeast"/>
        </w:trPr>
        <w:tc>
          <w:tcPr>
            <w:tcW w:w="478"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
                <w:color w:val="000000"/>
                <w:sz w:val="24"/>
              </w:rPr>
            </w:pPr>
          </w:p>
        </w:tc>
        <w:tc>
          <w:tcPr>
            <w:tcW w:w="84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方正小标宋简体" w:hAnsi="方正小标宋简体" w:eastAsia="方正小标宋简体" w:cs="方正小标宋简体"/>
                <w:b/>
                <w:color w:val="000000"/>
                <w:kern w:val="0"/>
                <w:sz w:val="24"/>
              </w:rPr>
            </w:pPr>
          </w:p>
        </w:tc>
        <w:tc>
          <w:tcPr>
            <w:tcW w:w="840" w:type="dxa"/>
            <w:gridSpan w:val="2"/>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方正小标宋简体" w:hAnsi="方正小标宋简体" w:eastAsia="方正小标宋简体" w:cs="方正小标宋简体"/>
                <w:b/>
                <w:color w:val="000000"/>
                <w:kern w:val="0"/>
                <w:sz w:val="24"/>
              </w:rPr>
            </w:pP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rPr>
                <w:rFonts w:ascii="宋体" w:hAnsi="宋体" w:eastAsia="宋体" w:cs="宋体"/>
                <w:color w:val="000000"/>
                <w:kern w:val="0"/>
                <w:sz w:val="22"/>
                <w:szCs w:val="22"/>
              </w:rPr>
            </w:pPr>
            <w:r>
              <w:rPr>
                <w:rFonts w:hint="eastAsia" w:ascii="宋体" w:hAnsi="宋体" w:eastAsia="宋体" w:cs="宋体"/>
                <w:color w:val="000000"/>
                <w:kern w:val="0"/>
                <w:sz w:val="22"/>
                <w:szCs w:val="22"/>
              </w:rPr>
              <w:t>2.各部门要按时保质完成上级部门组织的论文征集撰写报送工作，事涉部门未完成的每次扣0.1分；刑事、民事、行政、审判监督各业务部门每季度完成学术论文1篇，题目结合工作实际自拟，未完成的每次扣0.1分；刑事、民事、行政、审判监督各业务部门承担上级部门组织的论文撰写工作的，折抵该</w:t>
            </w:r>
          </w:p>
          <w:p>
            <w:pPr>
              <w:spacing w:line="280" w:lineRule="exact"/>
              <w:rPr>
                <w:rFonts w:ascii="宋体" w:hAnsi="宋体" w:eastAsia="宋体" w:cs="宋体"/>
                <w:color w:val="000000"/>
                <w:kern w:val="0"/>
                <w:sz w:val="22"/>
                <w:szCs w:val="22"/>
              </w:rPr>
            </w:pPr>
          </w:p>
          <w:p>
            <w:pPr>
              <w:spacing w:line="280" w:lineRule="exact"/>
              <w:rPr>
                <w:rFonts w:ascii="宋体" w:hAnsi="宋体" w:eastAsia="宋体" w:cs="宋体"/>
                <w:color w:val="C00000"/>
                <w:sz w:val="22"/>
                <w:szCs w:val="22"/>
              </w:rPr>
            </w:pPr>
            <w:r>
              <w:rPr>
                <w:rFonts w:hint="eastAsia" w:ascii="宋体" w:hAnsi="宋体" w:eastAsia="宋体" w:cs="宋体"/>
                <w:color w:val="000000"/>
                <w:kern w:val="0"/>
                <w:sz w:val="22"/>
                <w:szCs w:val="22"/>
              </w:rPr>
              <w:t>季度论文任务。</w:t>
            </w:r>
            <w:r>
              <w:rPr>
                <w:rFonts w:hint="eastAsia" w:ascii="宋体" w:hAnsi="宋体" w:eastAsia="宋体" w:cs="宋体"/>
                <w:b/>
                <w:color w:val="C00000"/>
                <w:sz w:val="22"/>
                <w:szCs w:val="22"/>
                <w:u w:val="single"/>
              </w:rPr>
              <w:t>21.拟改：</w:t>
            </w:r>
            <w:r>
              <w:rPr>
                <w:rFonts w:hint="eastAsia" w:ascii="宋体" w:hAnsi="宋体" w:eastAsia="宋体" w:cs="宋体"/>
                <w:b/>
                <w:color w:val="C00000"/>
                <w:kern w:val="0"/>
                <w:sz w:val="22"/>
                <w:szCs w:val="22"/>
                <w:u w:val="single"/>
              </w:rPr>
              <w:t>各部门要按时保质完成上级部门组织的论文征集撰写报送工作，事涉部门未完成的每次扣0.1分。</w:t>
            </w: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rPr>
                <w:rFonts w:ascii="宋体" w:hAnsi="宋体" w:eastAsia="宋体" w:cs="宋体"/>
                <w:color w:val="000000"/>
                <w:sz w:val="22"/>
                <w:szCs w:val="22"/>
              </w:rPr>
            </w:pPr>
          </w:p>
        </w:tc>
        <w:tc>
          <w:tcPr>
            <w:tcW w:w="112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方正小标宋简体" w:hAnsi="方正小标宋简体" w:eastAsia="方正小标宋简体" w:cs="方正小标宋简体"/>
                <w:b/>
                <w:color w:val="000000"/>
                <w:kern w:val="0"/>
                <w:sz w:val="24"/>
              </w:rPr>
            </w:pPr>
          </w:p>
        </w:tc>
        <w:tc>
          <w:tcPr>
            <w:tcW w:w="1134"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80" w:lineRule="exact"/>
              <w:jc w:val="center"/>
              <w:rPr>
                <w:rFonts w:ascii="方正小标宋简体" w:hAnsi="方正小标宋简体" w:eastAsia="方正小标宋简体" w:cs="方正小标宋简体"/>
                <w:color w:val="000000"/>
                <w:sz w:val="24"/>
              </w:rPr>
            </w:pPr>
          </w:p>
        </w:tc>
      </w:tr>
      <w:tr>
        <w:trPr>
          <w:gridAfter w:val="5"/>
          <w:wAfter w:w="5625" w:type="dxa"/>
          <w:trHeight w:val="952" w:hRule="atLeast"/>
        </w:trPr>
        <w:tc>
          <w:tcPr>
            <w:tcW w:w="478"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
                <w:color w:val="000000"/>
                <w:sz w:val="24"/>
              </w:rPr>
            </w:pPr>
          </w:p>
        </w:tc>
        <w:tc>
          <w:tcPr>
            <w:tcW w:w="84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方正小标宋简体" w:hAnsi="方正小标宋简体" w:eastAsia="方正小标宋简体" w:cs="方正小标宋简体"/>
                <w:b/>
                <w:color w:val="000000"/>
                <w:kern w:val="0"/>
                <w:sz w:val="24"/>
              </w:rPr>
            </w:pPr>
          </w:p>
        </w:tc>
        <w:tc>
          <w:tcPr>
            <w:tcW w:w="840" w:type="dxa"/>
            <w:gridSpan w:val="2"/>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方正小标宋简体" w:hAnsi="方正小标宋简体" w:eastAsia="方正小标宋简体" w:cs="方正小标宋简体"/>
                <w:b/>
                <w:color w:val="000000"/>
                <w:kern w:val="0"/>
                <w:sz w:val="24"/>
              </w:rPr>
            </w:pP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eastAsia="宋体" w:cs="宋体"/>
                <w:color w:val="C00000"/>
                <w:kern w:val="0"/>
                <w:sz w:val="22"/>
                <w:szCs w:val="22"/>
              </w:rPr>
            </w:pPr>
            <w:r>
              <w:rPr>
                <w:rFonts w:hint="eastAsia" w:ascii="宋体" w:hAnsi="宋体" w:eastAsia="宋体" w:cs="宋体"/>
                <w:color w:val="000000"/>
                <w:kern w:val="0"/>
                <w:sz w:val="22"/>
                <w:szCs w:val="22"/>
              </w:rPr>
              <w:t>3.各部门要按时保质完成上级部门组织的专题调研报告，事涉部门未完成的每次扣0.1分；各部门每季度完成专题调研报告1篇，题目结合工作实际自拟，未完成的每次扣0.1分；各部门承担上级部门组织的专题调研报告撰写工作的，折抵该季度报告撰写任务。</w:t>
            </w:r>
            <w:r>
              <w:rPr>
                <w:rFonts w:hint="eastAsia" w:ascii="宋体" w:hAnsi="宋体" w:eastAsia="宋体" w:cs="宋体"/>
                <w:b/>
                <w:color w:val="C00000"/>
                <w:kern w:val="0"/>
                <w:sz w:val="22"/>
                <w:szCs w:val="22"/>
                <w:u w:val="single"/>
              </w:rPr>
              <w:t>22.拟改：各部门要按时保质完成上级部门组织的专题调研报告，事涉部门未完成的每次扣0.1分。</w:t>
            </w: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rPr>
                <w:rFonts w:ascii="宋体" w:hAnsi="宋体" w:eastAsia="宋体" w:cs="宋体"/>
                <w:color w:val="000000"/>
                <w:sz w:val="22"/>
                <w:szCs w:val="22"/>
              </w:rPr>
            </w:pPr>
          </w:p>
        </w:tc>
        <w:tc>
          <w:tcPr>
            <w:tcW w:w="112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方正小标宋简体" w:hAnsi="方正小标宋简体" w:eastAsia="方正小标宋简体" w:cs="方正小标宋简体"/>
                <w:b/>
                <w:color w:val="000000"/>
                <w:kern w:val="0"/>
                <w:sz w:val="24"/>
              </w:rPr>
            </w:pPr>
          </w:p>
        </w:tc>
        <w:tc>
          <w:tcPr>
            <w:tcW w:w="1134"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80" w:lineRule="exact"/>
              <w:jc w:val="center"/>
              <w:rPr>
                <w:rFonts w:ascii="方正小标宋简体" w:hAnsi="方正小标宋简体" w:eastAsia="方正小标宋简体" w:cs="方正小标宋简体"/>
                <w:color w:val="000000"/>
                <w:sz w:val="24"/>
              </w:rPr>
            </w:pPr>
          </w:p>
        </w:tc>
      </w:tr>
      <w:tr>
        <w:trPr>
          <w:gridAfter w:val="5"/>
          <w:wAfter w:w="5625" w:type="dxa"/>
          <w:trHeight w:val="704" w:hRule="atLeast"/>
        </w:trPr>
        <w:tc>
          <w:tcPr>
            <w:tcW w:w="478"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
                <w:color w:val="000000"/>
                <w:sz w:val="24"/>
              </w:rPr>
            </w:pPr>
          </w:p>
        </w:tc>
        <w:tc>
          <w:tcPr>
            <w:tcW w:w="84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方正小标宋简体" w:hAnsi="方正小标宋简体" w:eastAsia="方正小标宋简体" w:cs="方正小标宋简体"/>
                <w:b/>
                <w:color w:val="000000"/>
                <w:kern w:val="0"/>
                <w:sz w:val="24"/>
              </w:rPr>
            </w:pPr>
          </w:p>
        </w:tc>
        <w:tc>
          <w:tcPr>
            <w:tcW w:w="840" w:type="dxa"/>
            <w:gridSpan w:val="2"/>
            <w:vMerge w:val="restart"/>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方正小标宋简体" w:hAnsi="方正小标宋简体" w:eastAsia="方正小标宋简体" w:cs="方正小标宋简体"/>
                <w:b/>
                <w:color w:val="000000"/>
                <w:kern w:val="0"/>
                <w:sz w:val="24"/>
              </w:rPr>
            </w:pPr>
            <w:r>
              <w:rPr>
                <w:rFonts w:hint="eastAsia" w:ascii="方正小标宋简体" w:hAnsi="方正小标宋简体" w:eastAsia="方正小标宋简体" w:cs="方正小标宋简体"/>
                <w:b/>
                <w:color w:val="000000"/>
                <w:kern w:val="0"/>
                <w:sz w:val="24"/>
              </w:rPr>
              <w:t>审判</w:t>
            </w:r>
          </w:p>
          <w:p>
            <w:pPr>
              <w:widowControl/>
              <w:spacing w:line="280" w:lineRule="exact"/>
              <w:jc w:val="center"/>
              <w:textAlignment w:val="center"/>
              <w:rPr>
                <w:rFonts w:ascii="方正小标宋简体" w:hAnsi="方正小标宋简体" w:eastAsia="方正小标宋简体" w:cs="方正小标宋简体"/>
                <w:b/>
                <w:color w:val="000000"/>
                <w:kern w:val="0"/>
                <w:sz w:val="24"/>
              </w:rPr>
            </w:pPr>
            <w:r>
              <w:rPr>
                <w:rFonts w:hint="eastAsia" w:ascii="方正小标宋简体" w:hAnsi="方正小标宋简体" w:eastAsia="方正小标宋简体" w:cs="方正小标宋简体"/>
                <w:b/>
                <w:color w:val="000000"/>
                <w:kern w:val="0"/>
                <w:sz w:val="24"/>
              </w:rPr>
              <w:t>案例</w:t>
            </w: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rPr>
                <w:rFonts w:ascii="宋体" w:hAnsi="宋体" w:eastAsia="宋体" w:cs="宋体"/>
                <w:color w:val="C00000"/>
                <w:sz w:val="22"/>
                <w:szCs w:val="22"/>
              </w:rPr>
            </w:pPr>
            <w:r>
              <w:rPr>
                <w:rFonts w:hint="eastAsia" w:ascii="宋体" w:hAnsi="宋体" w:eastAsia="宋体" w:cs="宋体"/>
                <w:color w:val="000000"/>
                <w:kern w:val="0"/>
                <w:sz w:val="22"/>
                <w:szCs w:val="22"/>
              </w:rPr>
              <w:t>1.刑事、民事、行政、审判监督各业务部门每季度完成参考性案例1篇，未完成的每次扣0.1分；</w:t>
            </w:r>
            <w:r>
              <w:rPr>
                <w:rFonts w:hint="eastAsia" w:ascii="宋体" w:hAnsi="宋体" w:eastAsia="宋体" w:cs="宋体"/>
                <w:b/>
                <w:color w:val="C00000"/>
                <w:sz w:val="22"/>
                <w:szCs w:val="22"/>
                <w:u w:val="single"/>
              </w:rPr>
              <w:t>23.拟改：</w:t>
            </w:r>
            <w:r>
              <w:rPr>
                <w:rFonts w:hint="eastAsia" w:ascii="宋体" w:hAnsi="宋体" w:eastAsia="宋体" w:cs="宋体"/>
                <w:b/>
                <w:color w:val="C00000"/>
                <w:kern w:val="0"/>
                <w:sz w:val="22"/>
                <w:szCs w:val="22"/>
                <w:u w:val="single"/>
              </w:rPr>
              <w:t>刑事、民事、行政、执行局等各业务部门每半年完成参考性案例1篇，未完成的每次扣0.1分。</w:t>
            </w: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rPr>
                <w:rFonts w:ascii="宋体" w:hAnsi="宋体" w:eastAsia="宋体" w:cs="宋体"/>
                <w:color w:val="000000"/>
                <w:sz w:val="22"/>
                <w:szCs w:val="22"/>
              </w:rPr>
            </w:pPr>
          </w:p>
        </w:tc>
        <w:tc>
          <w:tcPr>
            <w:tcW w:w="112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方正小标宋简体" w:hAnsi="方正小标宋简体" w:eastAsia="方正小标宋简体" w:cs="方正小标宋简体"/>
                <w:b/>
                <w:color w:val="000000"/>
                <w:kern w:val="0"/>
                <w:sz w:val="24"/>
              </w:rPr>
            </w:pPr>
          </w:p>
        </w:tc>
        <w:tc>
          <w:tcPr>
            <w:tcW w:w="1134"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80" w:lineRule="exact"/>
              <w:jc w:val="center"/>
              <w:rPr>
                <w:rFonts w:ascii="方正小标宋简体" w:hAnsi="方正小标宋简体" w:eastAsia="方正小标宋简体" w:cs="方正小标宋简体"/>
                <w:color w:val="000000"/>
                <w:sz w:val="24"/>
              </w:rPr>
            </w:pPr>
          </w:p>
        </w:tc>
      </w:tr>
      <w:tr>
        <w:trPr>
          <w:gridAfter w:val="5"/>
          <w:wAfter w:w="5625" w:type="dxa"/>
          <w:trHeight w:val="90" w:hRule="atLeast"/>
        </w:trPr>
        <w:tc>
          <w:tcPr>
            <w:tcW w:w="478"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
                <w:color w:val="000000"/>
                <w:sz w:val="24"/>
              </w:rPr>
            </w:pPr>
          </w:p>
        </w:tc>
        <w:tc>
          <w:tcPr>
            <w:tcW w:w="84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方正小标宋简体" w:hAnsi="方正小标宋简体" w:eastAsia="方正小标宋简体" w:cs="方正小标宋简体"/>
                <w:b/>
                <w:color w:val="000000"/>
                <w:kern w:val="0"/>
                <w:sz w:val="24"/>
              </w:rPr>
            </w:pPr>
          </w:p>
        </w:tc>
        <w:tc>
          <w:tcPr>
            <w:tcW w:w="840" w:type="dxa"/>
            <w:gridSpan w:val="2"/>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方正小标宋简体" w:hAnsi="方正小标宋简体" w:eastAsia="方正小标宋简体" w:cs="方正小标宋简体"/>
                <w:b/>
                <w:color w:val="000000"/>
                <w:kern w:val="0"/>
                <w:sz w:val="24"/>
              </w:rPr>
            </w:pP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rPr>
                <w:rFonts w:ascii="宋体" w:hAnsi="宋体" w:eastAsia="宋体" w:cs="宋体"/>
                <w:color w:val="C00000"/>
                <w:sz w:val="22"/>
                <w:szCs w:val="22"/>
              </w:rPr>
            </w:pPr>
            <w:r>
              <w:rPr>
                <w:rFonts w:hint="eastAsia" w:ascii="宋体" w:hAnsi="宋体" w:eastAsia="宋体" w:cs="宋体"/>
                <w:color w:val="000000"/>
                <w:kern w:val="0"/>
                <w:sz w:val="22"/>
                <w:szCs w:val="22"/>
              </w:rPr>
              <w:t>2.刑事、民事、行政、审判监督各业务部门每季度完成在本地区具有指导意义的案例1篇，案例类型结合工作实际自选，未完成的每次扣0.1分。</w:t>
            </w:r>
            <w:r>
              <w:rPr>
                <w:rFonts w:hint="eastAsia" w:ascii="宋体" w:hAnsi="宋体" w:eastAsia="宋体" w:cs="宋体"/>
                <w:b/>
                <w:color w:val="C00000"/>
                <w:sz w:val="22"/>
                <w:szCs w:val="22"/>
                <w:u w:val="single"/>
              </w:rPr>
              <w:t>24.拟改：</w:t>
            </w:r>
            <w:r>
              <w:rPr>
                <w:rFonts w:hint="eastAsia" w:ascii="宋体" w:hAnsi="宋体" w:eastAsia="宋体" w:cs="宋体"/>
                <w:b/>
                <w:color w:val="C00000"/>
                <w:kern w:val="0"/>
                <w:sz w:val="22"/>
                <w:szCs w:val="22"/>
                <w:u w:val="single"/>
              </w:rPr>
              <w:t>各部门要按时保质完成上级部门组织的指导意义案例撰写工作，事涉部门未完成的每次扣0.1分。</w:t>
            </w: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rPr>
                <w:rFonts w:ascii="宋体" w:hAnsi="宋体" w:eastAsia="宋体" w:cs="宋体"/>
                <w:color w:val="000000"/>
                <w:sz w:val="22"/>
                <w:szCs w:val="22"/>
              </w:rPr>
            </w:pPr>
          </w:p>
        </w:tc>
        <w:tc>
          <w:tcPr>
            <w:tcW w:w="112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方正小标宋简体" w:hAnsi="方正小标宋简体" w:eastAsia="方正小标宋简体" w:cs="方正小标宋简体"/>
                <w:b/>
                <w:color w:val="000000"/>
                <w:kern w:val="0"/>
                <w:sz w:val="24"/>
              </w:rPr>
            </w:pPr>
          </w:p>
        </w:tc>
        <w:tc>
          <w:tcPr>
            <w:tcW w:w="1134"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80" w:lineRule="exact"/>
              <w:jc w:val="center"/>
              <w:rPr>
                <w:rFonts w:ascii="方正小标宋简体" w:hAnsi="方正小标宋简体" w:eastAsia="方正小标宋简体" w:cs="方正小标宋简体"/>
                <w:color w:val="000000"/>
                <w:sz w:val="24"/>
              </w:rPr>
            </w:pPr>
          </w:p>
        </w:tc>
      </w:tr>
      <w:tr>
        <w:trPr>
          <w:gridAfter w:val="5"/>
          <w:wAfter w:w="5625" w:type="dxa"/>
          <w:trHeight w:val="987" w:hRule="atLeast"/>
        </w:trPr>
        <w:tc>
          <w:tcPr>
            <w:tcW w:w="478" w:type="dxa"/>
            <w:vMerge w:val="continue"/>
            <w:tcBorders>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
                <w:color w:val="000000"/>
                <w:sz w:val="24"/>
              </w:rPr>
            </w:pPr>
          </w:p>
        </w:tc>
        <w:tc>
          <w:tcPr>
            <w:tcW w:w="840" w:type="dxa"/>
            <w:vMerge w:val="continue"/>
            <w:tcBorders>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方正小标宋简体" w:hAnsi="方正小标宋简体" w:eastAsia="方正小标宋简体" w:cs="方正小标宋简体"/>
                <w:b/>
                <w:color w:val="000000"/>
                <w:kern w:val="0"/>
                <w:sz w:val="24"/>
              </w:rPr>
            </w:pPr>
          </w:p>
        </w:tc>
        <w:tc>
          <w:tcPr>
            <w:tcW w:w="840" w:type="dxa"/>
            <w:gridSpan w:val="2"/>
            <w:tcBorders>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方正小标宋简体" w:hAnsi="方正小标宋简体" w:eastAsia="方正小标宋简体" w:cs="方正小标宋简体"/>
                <w:b/>
                <w:color w:val="000000"/>
                <w:kern w:val="0"/>
                <w:sz w:val="24"/>
              </w:rPr>
            </w:pPr>
            <w:r>
              <w:rPr>
                <w:rFonts w:hint="eastAsia" w:ascii="方正小标宋简体" w:hAnsi="方正小标宋简体" w:eastAsia="方正小标宋简体" w:cs="方正小标宋简体"/>
                <w:b/>
                <w:color w:val="000000"/>
                <w:kern w:val="0"/>
                <w:sz w:val="24"/>
              </w:rPr>
              <w:t>司法</w:t>
            </w:r>
          </w:p>
          <w:p>
            <w:pPr>
              <w:widowControl/>
              <w:spacing w:line="280" w:lineRule="exact"/>
              <w:jc w:val="center"/>
              <w:textAlignment w:val="center"/>
              <w:rPr>
                <w:rFonts w:ascii="方正小标宋简体" w:hAnsi="方正小标宋简体" w:eastAsia="方正小标宋简体" w:cs="方正小标宋简体"/>
                <w:b/>
                <w:color w:val="000000"/>
                <w:kern w:val="0"/>
                <w:sz w:val="24"/>
              </w:rPr>
            </w:pPr>
            <w:r>
              <w:rPr>
                <w:rFonts w:hint="eastAsia" w:ascii="方正小标宋简体" w:hAnsi="方正小标宋简体" w:eastAsia="方正小标宋简体" w:cs="方正小标宋简体"/>
                <w:b/>
                <w:color w:val="000000"/>
                <w:kern w:val="0"/>
                <w:sz w:val="24"/>
              </w:rPr>
              <w:t>建议</w:t>
            </w:r>
          </w:p>
          <w:p>
            <w:pPr>
              <w:widowControl/>
              <w:spacing w:line="280" w:lineRule="exact"/>
              <w:jc w:val="center"/>
              <w:textAlignment w:val="center"/>
              <w:rPr>
                <w:rFonts w:ascii="方正小标宋简体" w:hAnsi="方正小标宋简体" w:eastAsia="方正小标宋简体" w:cs="方正小标宋简体"/>
                <w:b/>
                <w:color w:val="000000"/>
                <w:kern w:val="0"/>
                <w:sz w:val="24"/>
              </w:rPr>
            </w:pPr>
          </w:p>
        </w:tc>
        <w:tc>
          <w:tcPr>
            <w:tcW w:w="589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eastAsia="宋体" w:cs="宋体"/>
                <w:color w:val="C00000"/>
                <w:sz w:val="22"/>
                <w:szCs w:val="22"/>
              </w:rPr>
            </w:pPr>
            <w:r>
              <w:rPr>
                <w:rFonts w:hint="eastAsia" w:ascii="宋体" w:hAnsi="宋体" w:eastAsia="宋体" w:cs="宋体"/>
                <w:color w:val="000000"/>
                <w:kern w:val="0"/>
                <w:sz w:val="22"/>
                <w:szCs w:val="22"/>
              </w:rPr>
              <w:t>1.刑事、民事、行政、审判监督、执行各业务部门每季度完成司法建议1篇，司法建议要得到相关部门明确的意见反馈，未完成的每次扣0.1分。</w:t>
            </w:r>
            <w:r>
              <w:rPr>
                <w:rFonts w:hint="eastAsia" w:ascii="宋体" w:hAnsi="宋体" w:eastAsia="宋体" w:cs="宋体"/>
                <w:b/>
                <w:color w:val="C00000"/>
                <w:sz w:val="22"/>
                <w:szCs w:val="22"/>
                <w:u w:val="single"/>
              </w:rPr>
              <w:t>25.拟改：</w:t>
            </w:r>
            <w:r>
              <w:rPr>
                <w:rFonts w:hint="eastAsia" w:ascii="宋体" w:hAnsi="宋体" w:eastAsia="宋体" w:cs="宋体"/>
                <w:b/>
                <w:color w:val="C00000"/>
                <w:kern w:val="0"/>
                <w:sz w:val="22"/>
                <w:szCs w:val="22"/>
                <w:u w:val="single"/>
              </w:rPr>
              <w:t>各部门要按时保质完成上级部门组织的司法建议工作，事涉部门未完成的每次扣0.1分</w:t>
            </w:r>
            <w:r>
              <w:rPr>
                <w:rFonts w:hint="eastAsia" w:ascii="宋体" w:hAnsi="宋体" w:eastAsia="宋体" w:cs="宋体"/>
                <w:b/>
                <w:color w:val="000000"/>
                <w:kern w:val="0"/>
                <w:sz w:val="22"/>
                <w:szCs w:val="22"/>
                <w:u w:val="single"/>
              </w:rPr>
              <w:t>。</w:t>
            </w:r>
          </w:p>
        </w:tc>
        <w:tc>
          <w:tcPr>
            <w:tcW w:w="48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80" w:lineRule="exact"/>
              <w:rPr>
                <w:rFonts w:ascii="宋体" w:hAnsi="宋体" w:eastAsia="宋体" w:cs="宋体"/>
                <w:color w:val="000000"/>
                <w:sz w:val="22"/>
                <w:szCs w:val="22"/>
              </w:rPr>
            </w:pPr>
          </w:p>
        </w:tc>
        <w:tc>
          <w:tcPr>
            <w:tcW w:w="1125" w:type="dxa"/>
            <w:vMerge w:val="continue"/>
            <w:tcBorders>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方正小标宋简体" w:hAnsi="方正小标宋简体" w:eastAsia="方正小标宋简体" w:cs="方正小标宋简体"/>
                <w:b/>
                <w:color w:val="000000"/>
                <w:kern w:val="0"/>
                <w:sz w:val="24"/>
              </w:rPr>
            </w:pPr>
          </w:p>
        </w:tc>
        <w:tc>
          <w:tcPr>
            <w:tcW w:w="1134" w:type="dxa"/>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spacing w:line="280" w:lineRule="exact"/>
              <w:jc w:val="center"/>
              <w:rPr>
                <w:rFonts w:ascii="方正小标宋简体" w:hAnsi="方正小标宋简体" w:eastAsia="方正小标宋简体" w:cs="方正小标宋简体"/>
                <w:color w:val="000000"/>
                <w:sz w:val="24"/>
              </w:rPr>
            </w:pPr>
          </w:p>
        </w:tc>
      </w:tr>
      <w:tr>
        <w:trPr>
          <w:gridAfter w:val="5"/>
          <w:wAfter w:w="5625" w:type="dxa"/>
          <w:trHeight w:val="1823" w:hRule="atLeast"/>
        </w:trPr>
        <w:tc>
          <w:tcPr>
            <w:tcW w:w="478"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
                <w:color w:val="000000"/>
                <w:sz w:val="24"/>
              </w:rPr>
            </w:pPr>
            <w:r>
              <w:rPr>
                <w:rFonts w:ascii="方正小标宋简体" w:hAnsi="方正小标宋简体" w:eastAsia="方正小标宋简体" w:cs="方正小标宋简体"/>
                <w:b/>
                <w:color w:val="000000"/>
                <w:kern w:val="0"/>
                <w:sz w:val="24"/>
              </w:rPr>
              <w:t>全面从严治院</w:t>
            </w:r>
          </w:p>
          <w:p>
            <w:pPr>
              <w:widowControl/>
              <w:jc w:val="center"/>
              <w:textAlignment w:val="center"/>
              <w:rPr>
                <w:rFonts w:ascii="方正小标宋简体" w:hAnsi="方正小标宋简体" w:eastAsia="方正小标宋简体" w:cs="方正小标宋简体"/>
                <w:b/>
                <w:color w:val="000000"/>
                <w:sz w:val="24"/>
              </w:rPr>
            </w:pPr>
          </w:p>
        </w:tc>
        <w:tc>
          <w:tcPr>
            <w:tcW w:w="857" w:type="dxa"/>
            <w:gridSpan w:val="2"/>
            <w:vMerge w:val="restar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
                <w:color w:val="000000"/>
                <w:kern w:val="0"/>
                <w:sz w:val="24"/>
              </w:rPr>
            </w:pPr>
            <w:r>
              <w:rPr>
                <w:rFonts w:ascii="方正小标宋简体" w:hAnsi="方正小标宋简体" w:eastAsia="方正小标宋简体" w:cs="方正小标宋简体"/>
                <w:b/>
                <w:color w:val="000000"/>
                <w:kern w:val="0"/>
                <w:sz w:val="24"/>
              </w:rPr>
              <w:t>政务</w:t>
            </w:r>
          </w:p>
          <w:p>
            <w:pPr>
              <w:widowControl/>
              <w:jc w:val="center"/>
              <w:textAlignment w:val="center"/>
              <w:rPr>
                <w:rFonts w:ascii="方正小标宋简体" w:hAnsi="方正小标宋简体" w:eastAsia="方正小标宋简体" w:cs="方正小标宋简体"/>
                <w:b/>
                <w:color w:val="000000"/>
                <w:sz w:val="24"/>
              </w:rPr>
            </w:pPr>
            <w:r>
              <w:rPr>
                <w:rFonts w:ascii="方正小标宋简体" w:hAnsi="方正小标宋简体" w:eastAsia="方正小标宋简体" w:cs="方正小标宋简体"/>
                <w:b/>
                <w:color w:val="000000"/>
                <w:kern w:val="0"/>
                <w:sz w:val="24"/>
              </w:rPr>
              <w:t>管理</w:t>
            </w:r>
          </w:p>
        </w:tc>
        <w:tc>
          <w:tcPr>
            <w:tcW w:w="823"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
                <w:color w:val="000000"/>
                <w:sz w:val="24"/>
              </w:rPr>
            </w:pPr>
            <w:r>
              <w:rPr>
                <w:rFonts w:ascii="方正小标宋简体" w:hAnsi="方正小标宋简体" w:eastAsia="方正小标宋简体" w:cs="方正小标宋简体"/>
                <w:b/>
                <w:color w:val="000000"/>
                <w:kern w:val="0"/>
                <w:sz w:val="24"/>
              </w:rPr>
              <w:t>办公政务标准</w:t>
            </w:r>
          </w:p>
        </w:tc>
        <w:tc>
          <w:tcPr>
            <w:tcW w:w="589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26.开展“标准化建设年”工作时，未按照工作安排，及时报送工作相关情况的，每次扣0.2分；建立标准不符合实际的或逾期完成的，每项工作扣0.5分；未按照工作要求建设相关工作标准的，每项工作扣0.5分；未按照工作要求，抓好本部门、本条线标准化建设年相关工作落实的，每项扣0.5分。</w:t>
            </w:r>
          </w:p>
        </w:tc>
        <w:tc>
          <w:tcPr>
            <w:tcW w:w="483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2"/>
                <w:szCs w:val="22"/>
              </w:rPr>
            </w:pPr>
          </w:p>
        </w:tc>
        <w:tc>
          <w:tcPr>
            <w:tcW w:w="1125" w:type="dxa"/>
            <w:vMerge w:val="restart"/>
            <w:tcBorders>
              <w:top w:val="single" w:color="auto"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方正小标宋简体"/>
                <w:b/>
                <w:color w:val="000000"/>
                <w:kern w:val="0"/>
                <w:sz w:val="24"/>
              </w:rPr>
            </w:pPr>
            <w:r>
              <w:rPr>
                <w:rFonts w:hint="eastAsia" w:ascii="宋体" w:hAnsi="宋体" w:eastAsia="宋体" w:cs="方正小标宋简体"/>
                <w:b/>
                <w:color w:val="000000"/>
                <w:kern w:val="0"/>
                <w:sz w:val="24"/>
              </w:rPr>
              <w:t>审管办</w:t>
            </w:r>
          </w:p>
          <w:p>
            <w:pPr>
              <w:widowControl/>
              <w:jc w:val="center"/>
              <w:textAlignment w:val="center"/>
              <w:rPr>
                <w:rFonts w:ascii="方正小标宋简体" w:hAnsi="方正小标宋简体" w:eastAsia="方正小标宋简体" w:cs="方正小标宋简体"/>
                <w:b/>
                <w:color w:val="000000"/>
                <w:sz w:val="24"/>
              </w:rPr>
            </w:pPr>
            <w:r>
              <w:rPr>
                <w:rFonts w:hint="eastAsia" w:ascii="宋体" w:hAnsi="宋体" w:eastAsia="宋体" w:cs="方正小标宋简体"/>
                <w:b/>
                <w:color w:val="000000"/>
                <w:kern w:val="0"/>
                <w:sz w:val="24"/>
              </w:rPr>
              <w:t>（研究室）</w:t>
            </w:r>
          </w:p>
        </w:tc>
        <w:tc>
          <w:tcPr>
            <w:tcW w:w="1134"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color w:val="000000"/>
                <w:sz w:val="24"/>
              </w:rPr>
            </w:pPr>
          </w:p>
        </w:tc>
      </w:tr>
      <w:tr>
        <w:tblPrEx>
          <w:tblCellMar>
            <w:top w:w="0" w:type="dxa"/>
            <w:left w:w="0" w:type="dxa"/>
            <w:bottom w:w="0" w:type="dxa"/>
            <w:right w:w="0" w:type="dxa"/>
          </w:tblCellMar>
        </w:tblPrEx>
        <w:trPr>
          <w:gridAfter w:val="5"/>
          <w:wAfter w:w="5625" w:type="dxa"/>
          <w:trHeight w:val="1248" w:hRule="atLeast"/>
        </w:trPr>
        <w:tc>
          <w:tcPr>
            <w:tcW w:w="478" w:type="dxa"/>
            <w:vMerge w:val="continue"/>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
                <w:color w:val="000000"/>
                <w:kern w:val="0"/>
                <w:sz w:val="24"/>
              </w:rPr>
            </w:pPr>
          </w:p>
        </w:tc>
        <w:tc>
          <w:tcPr>
            <w:tcW w:w="857" w:type="dxa"/>
            <w:gridSpan w:val="2"/>
            <w:vMerge w:val="continue"/>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
                <w:color w:val="000000"/>
                <w:kern w:val="0"/>
                <w:sz w:val="24"/>
              </w:rPr>
            </w:pPr>
          </w:p>
        </w:tc>
        <w:tc>
          <w:tcPr>
            <w:tcW w:w="823"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
                <w:color w:val="000000"/>
                <w:kern w:val="0"/>
                <w:sz w:val="24"/>
              </w:rPr>
            </w:pPr>
          </w:p>
        </w:tc>
        <w:tc>
          <w:tcPr>
            <w:tcW w:w="589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27.未按时报送</w:t>
            </w:r>
            <w:r>
              <w:rPr>
                <w:rFonts w:hint="eastAsia" w:ascii="宋体" w:hAnsi="宋体" w:eastAsia="宋体" w:cs="宋体"/>
                <w:b/>
                <w:color w:val="C00000"/>
                <w:kern w:val="0"/>
                <w:sz w:val="22"/>
                <w:szCs w:val="22"/>
                <w:u w:val="single"/>
              </w:rPr>
              <w:t>（增加：诉讼案件）</w:t>
            </w:r>
            <w:r>
              <w:rPr>
                <w:rFonts w:hint="eastAsia" w:ascii="宋体" w:hAnsi="宋体" w:eastAsia="宋体" w:cs="宋体"/>
                <w:color w:val="000000"/>
                <w:kern w:val="0"/>
                <w:sz w:val="22"/>
                <w:szCs w:val="22"/>
              </w:rPr>
              <w:t>督办工作进展的，每次扣0.1分；未按程序擅自修改承办部门的，每次扣0.2分；未按时办结督办事项的，每次扣0.5分。</w:t>
            </w:r>
          </w:p>
        </w:tc>
        <w:tc>
          <w:tcPr>
            <w:tcW w:w="483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2"/>
                <w:szCs w:val="22"/>
              </w:rPr>
            </w:pPr>
          </w:p>
        </w:tc>
        <w:tc>
          <w:tcPr>
            <w:tcW w:w="112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方正小标宋简体" w:hAnsi="方正小标宋简体" w:eastAsia="方正小标宋简体" w:cs="方正小标宋简体"/>
                <w:b/>
                <w:color w:val="000000"/>
                <w:kern w:val="0"/>
                <w:sz w:val="24"/>
              </w:rPr>
            </w:pPr>
          </w:p>
        </w:tc>
        <w:tc>
          <w:tcPr>
            <w:tcW w:w="1134"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color w:val="000000"/>
                <w:sz w:val="24"/>
              </w:rPr>
            </w:pPr>
          </w:p>
        </w:tc>
      </w:tr>
      <w:tr>
        <w:trPr>
          <w:gridAfter w:val="5"/>
          <w:wAfter w:w="5625" w:type="dxa"/>
          <w:trHeight w:val="1468" w:hRule="atLeast"/>
        </w:trPr>
        <w:tc>
          <w:tcPr>
            <w:tcW w:w="47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28.未按照要求及时开展保密自查自评工作的，每次扣0.2分；文件应定密未定密的，每件扣0.2分；违规处理涉密信息产生影响的，每次扣0.5分，造成严重后果，构成失泄密事件的，取消评奖评优资格。</w:t>
            </w: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2"/>
                <w:szCs w:val="22"/>
              </w:rPr>
            </w:pP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方正小标宋简体"/>
                <w:b/>
                <w:color w:val="000000"/>
                <w:kern w:val="0"/>
                <w:sz w:val="24"/>
              </w:rPr>
            </w:pPr>
            <w:r>
              <w:rPr>
                <w:rFonts w:ascii="宋体" w:hAnsi="宋体" w:eastAsia="宋体" w:cs="方正小标宋简体"/>
                <w:b/>
                <w:color w:val="000000"/>
                <w:kern w:val="0"/>
                <w:sz w:val="24"/>
              </w:rPr>
              <w:t>办公室</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color w:val="000000"/>
                <w:sz w:val="24"/>
              </w:rPr>
            </w:pPr>
          </w:p>
        </w:tc>
      </w:tr>
      <w:tr>
        <w:trPr>
          <w:gridAfter w:val="5"/>
          <w:wAfter w:w="5625" w:type="dxa"/>
          <w:trHeight w:val="1033" w:hRule="atLeast"/>
        </w:trPr>
        <w:tc>
          <w:tcPr>
            <w:tcW w:w="47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29.办公室在公文核稿时已提出明确修改意见，但经办部门未对照修改，以致核稿工作反复的，每件扣 0.1 分。</w:t>
            </w: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1049"/>
              </w:tabs>
              <w:rPr>
                <w:rFonts w:ascii="宋体" w:hAnsi="宋体" w:eastAsia="宋体" w:cs="宋体"/>
                <w:color w:val="000000"/>
                <w:sz w:val="22"/>
                <w:szCs w:val="22"/>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方正小标宋简体"/>
                <w:b/>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color w:val="000000"/>
                <w:sz w:val="24"/>
              </w:rPr>
            </w:pPr>
          </w:p>
        </w:tc>
      </w:tr>
      <w:tr>
        <w:tblPrEx>
          <w:tblCellMar>
            <w:top w:w="0" w:type="dxa"/>
            <w:left w:w="0" w:type="dxa"/>
            <w:bottom w:w="0" w:type="dxa"/>
            <w:right w:w="0" w:type="dxa"/>
          </w:tblCellMar>
        </w:tblPrEx>
        <w:trPr>
          <w:gridAfter w:val="5"/>
          <w:wAfter w:w="5625" w:type="dxa"/>
          <w:trHeight w:val="1253" w:hRule="atLeast"/>
        </w:trPr>
        <w:tc>
          <w:tcPr>
            <w:tcW w:w="47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
                <w:color w:val="000000"/>
                <w:sz w:val="24"/>
              </w:rPr>
            </w:pPr>
          </w:p>
        </w:tc>
        <w:tc>
          <w:tcPr>
            <w:tcW w:w="857" w:type="dxa"/>
            <w:gridSpan w:val="2"/>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
                <w:color w:val="000000"/>
                <w:kern w:val="0"/>
                <w:sz w:val="24"/>
              </w:rPr>
            </w:pPr>
            <w:r>
              <w:rPr>
                <w:rFonts w:ascii="方正小标宋简体" w:hAnsi="方正小标宋简体" w:eastAsia="方正小标宋简体" w:cs="方正小标宋简体"/>
                <w:b/>
                <w:color w:val="000000"/>
                <w:kern w:val="0"/>
                <w:sz w:val="24"/>
              </w:rPr>
              <w:t>政务</w:t>
            </w:r>
          </w:p>
          <w:p>
            <w:pPr>
              <w:widowControl/>
              <w:jc w:val="center"/>
              <w:textAlignment w:val="center"/>
              <w:rPr>
                <w:rFonts w:ascii="方正小标宋简体" w:hAnsi="方正小标宋简体" w:eastAsia="方正小标宋简体" w:cs="方正小标宋简体"/>
                <w:b/>
                <w:color w:val="000000"/>
                <w:kern w:val="0"/>
                <w:sz w:val="24"/>
              </w:rPr>
            </w:pPr>
            <w:r>
              <w:rPr>
                <w:rFonts w:ascii="方正小标宋简体" w:hAnsi="方正小标宋简体" w:eastAsia="方正小标宋简体" w:cs="方正小标宋简体"/>
                <w:b/>
                <w:color w:val="000000"/>
                <w:kern w:val="0"/>
                <w:sz w:val="24"/>
              </w:rPr>
              <w:t>管理</w:t>
            </w:r>
          </w:p>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r>
              <w:rPr>
                <w:rFonts w:ascii="方正小标宋简体" w:hAnsi="方正小标宋简体" w:eastAsia="方正小标宋简体" w:cs="方正小标宋简体"/>
                <w:b/>
                <w:color w:val="000000"/>
                <w:kern w:val="0"/>
                <w:sz w:val="24"/>
              </w:rPr>
              <w:t>政务</w:t>
            </w:r>
          </w:p>
          <w:p>
            <w:pPr>
              <w:widowControl/>
              <w:jc w:val="center"/>
              <w:textAlignment w:val="center"/>
              <w:rPr>
                <w:rFonts w:ascii="方正小标宋简体" w:hAnsi="方正小标宋简体" w:eastAsia="方正小标宋简体" w:cs="方正小标宋简体"/>
                <w:b/>
                <w:color w:val="000000"/>
                <w:sz w:val="24"/>
              </w:rPr>
            </w:pPr>
            <w:r>
              <w:rPr>
                <w:rFonts w:ascii="方正小标宋简体" w:hAnsi="方正小标宋简体" w:eastAsia="方正小标宋简体" w:cs="方正小标宋简体"/>
                <w:b/>
                <w:color w:val="000000"/>
                <w:kern w:val="0"/>
                <w:sz w:val="24"/>
              </w:rPr>
              <w:t>管理</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
                <w:color w:val="000000"/>
                <w:kern w:val="0"/>
                <w:sz w:val="24"/>
              </w:rPr>
            </w:pPr>
            <w:r>
              <w:rPr>
                <w:rFonts w:ascii="方正小标宋简体" w:hAnsi="方正小标宋简体" w:eastAsia="方正小标宋简体" w:cs="方正小标宋简体"/>
                <w:b/>
                <w:color w:val="000000"/>
                <w:kern w:val="0"/>
                <w:sz w:val="24"/>
              </w:rPr>
              <w:t>财务</w:t>
            </w:r>
          </w:p>
          <w:p>
            <w:pPr>
              <w:widowControl/>
              <w:jc w:val="center"/>
              <w:textAlignment w:val="center"/>
              <w:rPr>
                <w:rFonts w:ascii="方正小标宋简体" w:hAnsi="方正小标宋简体" w:eastAsia="方正小标宋简体" w:cs="方正小标宋简体"/>
                <w:b/>
                <w:color w:val="000000"/>
                <w:kern w:val="0"/>
                <w:sz w:val="24"/>
              </w:rPr>
            </w:pPr>
            <w:r>
              <w:rPr>
                <w:rFonts w:ascii="方正小标宋简体" w:hAnsi="方正小标宋简体" w:eastAsia="方正小标宋简体" w:cs="方正小标宋简体"/>
                <w:b/>
                <w:color w:val="000000"/>
                <w:kern w:val="0"/>
                <w:sz w:val="24"/>
              </w:rPr>
              <w:t>管理</w:t>
            </w:r>
          </w:p>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r>
              <w:rPr>
                <w:rFonts w:ascii="方正小标宋简体" w:hAnsi="方正小标宋简体" w:eastAsia="方正小标宋简体" w:cs="方正小标宋简体"/>
                <w:b/>
                <w:color w:val="000000"/>
                <w:kern w:val="0"/>
                <w:sz w:val="24"/>
              </w:rPr>
              <w:t>财务</w:t>
            </w:r>
          </w:p>
          <w:p>
            <w:pPr>
              <w:widowControl/>
              <w:jc w:val="center"/>
              <w:textAlignment w:val="center"/>
              <w:rPr>
                <w:rFonts w:ascii="方正小标宋简体" w:hAnsi="方正小标宋简体" w:eastAsia="方正小标宋简体" w:cs="方正小标宋简体"/>
                <w:b/>
                <w:color w:val="000000"/>
                <w:sz w:val="24"/>
              </w:rPr>
            </w:pPr>
            <w:r>
              <w:rPr>
                <w:rFonts w:ascii="方正小标宋简体" w:hAnsi="方正小标宋简体" w:eastAsia="方正小标宋简体" w:cs="方正小标宋简体"/>
                <w:b/>
                <w:color w:val="000000"/>
                <w:kern w:val="0"/>
                <w:sz w:val="24"/>
              </w:rPr>
              <w:t>管理</w:t>
            </w: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17.严格执行会议费、差旅费、培训费等经费管理办法，报销时应及时提供相关材料，不按规定履行报销手续的，每人次扣0.2分。</w:t>
            </w:r>
          </w:p>
        </w:tc>
        <w:tc>
          <w:tcPr>
            <w:tcW w:w="112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r>
              <w:rPr>
                <w:rFonts w:ascii="宋体" w:hAnsi="宋体" w:eastAsia="宋体" w:cs="方正小标宋简体"/>
                <w:b/>
                <w:color w:val="000000"/>
                <w:kern w:val="0"/>
                <w:sz w:val="24"/>
              </w:rPr>
              <w:t>办公室</w:t>
            </w: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r>
              <w:rPr>
                <w:rFonts w:ascii="宋体" w:hAnsi="宋体" w:eastAsia="宋体" w:cs="宋体"/>
                <w:color w:val="000000"/>
                <w:kern w:val="0"/>
                <w:sz w:val="22"/>
                <w:szCs w:val="22"/>
              </w:rPr>
              <w:pict>
                <v:shape id="_x0000_s1093" o:spid="_x0000_s1093" o:spt="32" type="#_x0000_t32" style="position:absolute;left:0pt;margin-left:-0.2pt;margin-top:15.9pt;height:0pt;width:57.45pt;z-index:251671552;mso-width-relative:page;mso-height-relative:page;" o:connectortype="straight" filled="f" coordsize="21600,21600">
                  <v:path arrowok="t"/>
                  <v:fill on="f" focussize="0,0"/>
                  <v:stroke/>
                  <v:imagedata o:title=""/>
                  <o:lock v:ext="edit"/>
                </v:shape>
              </w:pict>
            </w: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r>
              <w:rPr>
                <w:rFonts w:ascii="宋体" w:hAnsi="宋体" w:eastAsia="宋体" w:cs="方正小标宋简体"/>
                <w:b/>
                <w:color w:val="000000"/>
                <w:kern w:val="0"/>
                <w:sz w:val="24"/>
              </w:rPr>
              <w:t>办公室</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color w:val="000000"/>
                <w:sz w:val="24"/>
              </w:rPr>
            </w:pPr>
          </w:p>
        </w:tc>
      </w:tr>
      <w:tr>
        <w:trPr>
          <w:gridAfter w:val="5"/>
          <w:wAfter w:w="5625" w:type="dxa"/>
          <w:trHeight w:val="1537" w:hRule="atLeast"/>
        </w:trPr>
        <w:tc>
          <w:tcPr>
            <w:tcW w:w="47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57" w:type="dxa"/>
            <w:gridSpan w:val="2"/>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18.违反财经纪律和财务报销制度，虚报冒领或提供假发票，每人次扣0.2分；借款超过3个月，无正当理由不归还的，每人次扣0.1分。</w:t>
            </w:r>
          </w:p>
        </w:tc>
        <w:tc>
          <w:tcPr>
            <w:tcW w:w="112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color w:val="000000"/>
                <w:sz w:val="24"/>
              </w:rPr>
            </w:pPr>
          </w:p>
        </w:tc>
      </w:tr>
      <w:tr>
        <w:trPr>
          <w:gridAfter w:val="5"/>
          <w:wAfter w:w="5625" w:type="dxa"/>
          <w:trHeight w:val="1955" w:hRule="atLeast"/>
        </w:trPr>
        <w:tc>
          <w:tcPr>
            <w:tcW w:w="47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57" w:type="dxa"/>
            <w:gridSpan w:val="2"/>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驾驶公车违反交通法规，造成交通事故的，每次扣责任人0.5分；违反警车、警灯、警笛管理规定，造成不良影响的，每人次扣0.5分；违反机关车辆使用管理规定、未按程序报批私自用车、非工作时间车辆未停放在机关等，每人次扣0.5分。</w:t>
            </w:r>
          </w:p>
        </w:tc>
        <w:tc>
          <w:tcPr>
            <w:tcW w:w="112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color w:val="000000"/>
                <w:sz w:val="24"/>
              </w:rPr>
            </w:pPr>
          </w:p>
        </w:tc>
      </w:tr>
      <w:tr>
        <w:trPr>
          <w:gridAfter w:val="5"/>
          <w:wAfter w:w="5625" w:type="dxa"/>
          <w:trHeight w:val="1266" w:hRule="atLeast"/>
        </w:trPr>
        <w:tc>
          <w:tcPr>
            <w:tcW w:w="47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sz w:val="24"/>
              </w:rPr>
            </w:pPr>
            <w:r>
              <w:rPr>
                <w:rFonts w:ascii="方正小标宋简体" w:hAnsi="方正小标宋简体" w:eastAsia="方正小标宋简体" w:cs="方正小标宋简体"/>
                <w:b/>
                <w:color w:val="000000"/>
                <w:kern w:val="0"/>
                <w:sz w:val="24"/>
              </w:rPr>
              <w:t>全面从严治院</w:t>
            </w:r>
          </w:p>
          <w:p>
            <w:pPr>
              <w:jc w:val="center"/>
              <w:rPr>
                <w:rFonts w:ascii="方正小标宋简体" w:hAnsi="方正小标宋简体" w:eastAsia="方正小标宋简体" w:cs="方正小标宋简体"/>
                <w:b/>
                <w:color w:val="000000"/>
                <w:sz w:val="24"/>
              </w:rPr>
            </w:pPr>
          </w:p>
        </w:tc>
        <w:tc>
          <w:tcPr>
            <w:tcW w:w="857" w:type="dxa"/>
            <w:gridSpan w:val="2"/>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tabs>
                <w:tab w:val="left" w:pos="374"/>
              </w:tabs>
              <w:jc w:val="center"/>
              <w:rPr>
                <w:rFonts w:ascii="方正小标宋简体" w:hAnsi="方正小标宋简体" w:eastAsia="方正小标宋简体" w:cs="方正小标宋简体"/>
                <w:b/>
                <w:color w:val="000000"/>
                <w:sz w:val="24"/>
              </w:rPr>
            </w:pPr>
          </w:p>
          <w:p>
            <w:pPr>
              <w:tabs>
                <w:tab w:val="left" w:pos="374"/>
              </w:tabs>
              <w:jc w:val="center"/>
              <w:rPr>
                <w:rFonts w:ascii="方正小标宋简体" w:hAnsi="方正小标宋简体" w:eastAsia="方正小标宋简体" w:cs="方正小标宋简体"/>
                <w:b/>
                <w:color w:val="000000"/>
                <w:sz w:val="24"/>
              </w:rPr>
            </w:pPr>
          </w:p>
          <w:p>
            <w:pPr>
              <w:tabs>
                <w:tab w:val="left" w:pos="374"/>
              </w:tabs>
              <w:ind w:firstLine="241" w:firstLineChars="100"/>
              <w:rPr>
                <w:rFonts w:ascii="方正小标宋简体" w:hAnsi="方正小标宋简体" w:eastAsia="方正小标宋简体" w:cs="方正小标宋简体"/>
                <w:b/>
                <w:color w:val="000000"/>
                <w:sz w:val="24"/>
              </w:rPr>
            </w:pPr>
            <w:r>
              <w:rPr>
                <w:rFonts w:hint="eastAsia" w:ascii="方正小标宋简体" w:hAnsi="方正小标宋简体" w:eastAsia="方正小标宋简体" w:cs="方正小标宋简体"/>
                <w:b/>
                <w:color w:val="000000"/>
                <w:sz w:val="24"/>
              </w:rPr>
              <w:t>政务</w:t>
            </w:r>
          </w:p>
          <w:p>
            <w:pPr>
              <w:tabs>
                <w:tab w:val="left" w:pos="374"/>
              </w:tabs>
              <w:jc w:val="center"/>
              <w:rPr>
                <w:rFonts w:ascii="方正小标宋简体" w:hAnsi="方正小标宋简体" w:eastAsia="方正小标宋简体" w:cs="方正小标宋简体"/>
                <w:b/>
                <w:color w:val="000000"/>
                <w:sz w:val="24"/>
              </w:rPr>
            </w:pPr>
            <w:r>
              <w:rPr>
                <w:rFonts w:hint="eastAsia" w:ascii="方正小标宋简体" w:hAnsi="方正小标宋简体" w:eastAsia="方正小标宋简体" w:cs="方正小标宋简体"/>
                <w:b/>
                <w:color w:val="000000"/>
                <w:sz w:val="24"/>
              </w:rPr>
              <w:t>管理</w:t>
            </w:r>
          </w:p>
          <w:p>
            <w:pPr>
              <w:tabs>
                <w:tab w:val="left" w:pos="374"/>
              </w:tabs>
              <w:jc w:val="center"/>
              <w:rPr>
                <w:rFonts w:ascii="方正小标宋简体" w:hAnsi="方正小标宋简体" w:eastAsia="方正小标宋简体" w:cs="方正小标宋简体"/>
                <w:b/>
                <w:color w:val="000000"/>
                <w:sz w:val="24"/>
              </w:rPr>
            </w:pPr>
          </w:p>
          <w:p>
            <w:pPr>
              <w:tabs>
                <w:tab w:val="left" w:pos="374"/>
              </w:tabs>
              <w:jc w:val="center"/>
              <w:rPr>
                <w:rFonts w:ascii="方正小标宋简体" w:hAnsi="方正小标宋简体" w:eastAsia="方正小标宋简体" w:cs="方正小标宋简体"/>
                <w:b/>
                <w:color w:val="000000"/>
                <w:sz w:val="24"/>
              </w:rPr>
            </w:pPr>
          </w:p>
          <w:p>
            <w:pPr>
              <w:tabs>
                <w:tab w:val="left" w:pos="374"/>
              </w:tabs>
              <w:jc w:val="center"/>
              <w:rPr>
                <w:rFonts w:ascii="方正小标宋简体" w:hAnsi="方正小标宋简体" w:eastAsia="方正小标宋简体" w:cs="方正小标宋简体"/>
                <w:b/>
                <w:color w:val="000000"/>
                <w:sz w:val="24"/>
              </w:rPr>
            </w:pPr>
          </w:p>
          <w:p>
            <w:pPr>
              <w:tabs>
                <w:tab w:val="left" w:pos="374"/>
              </w:tabs>
              <w:jc w:val="center"/>
              <w:rPr>
                <w:rFonts w:ascii="方正小标宋简体" w:hAnsi="方正小标宋简体" w:eastAsia="方正小标宋简体" w:cs="方正小标宋简体"/>
                <w:b/>
                <w:color w:val="000000"/>
                <w:sz w:val="24"/>
              </w:rPr>
            </w:pPr>
          </w:p>
          <w:p>
            <w:pPr>
              <w:tabs>
                <w:tab w:val="left" w:pos="374"/>
              </w:tabs>
              <w:jc w:val="center"/>
              <w:rPr>
                <w:rFonts w:ascii="方正小标宋简体" w:hAnsi="方正小标宋简体" w:eastAsia="方正小标宋简体" w:cs="方正小标宋简体"/>
                <w:b/>
                <w:color w:val="000000"/>
                <w:sz w:val="24"/>
              </w:rPr>
            </w:pPr>
          </w:p>
          <w:p>
            <w:pPr>
              <w:tabs>
                <w:tab w:val="left" w:pos="374"/>
              </w:tabs>
              <w:rPr>
                <w:rFonts w:ascii="方正小标宋简体" w:hAnsi="方正小标宋简体" w:eastAsia="方正小标宋简体" w:cs="方正小标宋简体"/>
                <w:b/>
                <w:color w:val="000000"/>
                <w:sz w:val="24"/>
              </w:rPr>
            </w:pPr>
          </w:p>
          <w:p>
            <w:pPr>
              <w:tabs>
                <w:tab w:val="left" w:pos="374"/>
              </w:tabs>
              <w:jc w:val="center"/>
              <w:rPr>
                <w:rFonts w:ascii="方正小标宋简体" w:hAnsi="方正小标宋简体" w:eastAsia="方正小标宋简体" w:cs="方正小标宋简体"/>
                <w:b/>
                <w:color w:val="000000"/>
                <w:sz w:val="24"/>
              </w:rPr>
            </w:pPr>
            <w:r>
              <w:rPr>
                <w:rFonts w:ascii="方正小标宋简体" w:hAnsi="方正小标宋简体" w:eastAsia="方正小标宋简体" w:cs="方正小标宋简体"/>
                <w:b/>
                <w:color w:val="000000"/>
                <w:sz w:val="24"/>
              </w:rPr>
              <w:pict>
                <v:shape id="_x0000_s1099" o:spid="_x0000_s1099" o:spt="32" type="#_x0000_t32" style="position:absolute;left:0pt;margin-left:-21.2pt;margin-top:0.05pt;height:0pt;width:107.35pt;z-index:251673600;mso-width-relative:page;mso-height-relative:page;" o:connectortype="straight" filled="f" coordsize="21600,21600">
                  <v:path arrowok="t"/>
                  <v:fill on="f" focussize="0,0"/>
                  <v:stroke/>
                  <v:imagedata o:title=""/>
                  <o:lock v:ext="edit"/>
                </v:shape>
              </w:pict>
            </w:r>
          </w:p>
          <w:p>
            <w:pPr>
              <w:tabs>
                <w:tab w:val="left" w:pos="374"/>
              </w:tabs>
              <w:jc w:val="center"/>
              <w:rPr>
                <w:rFonts w:ascii="方正小标宋简体" w:hAnsi="方正小标宋简体" w:eastAsia="方正小标宋简体" w:cs="方正小标宋简体"/>
                <w:b/>
                <w:color w:val="000000"/>
                <w:sz w:val="24"/>
              </w:rPr>
            </w:pPr>
          </w:p>
          <w:p>
            <w:pPr>
              <w:tabs>
                <w:tab w:val="left" w:pos="374"/>
              </w:tabs>
              <w:jc w:val="center"/>
              <w:rPr>
                <w:rFonts w:ascii="方正小标宋简体" w:hAnsi="方正小标宋简体" w:eastAsia="方正小标宋简体" w:cs="方正小标宋简体"/>
                <w:b/>
                <w:color w:val="000000"/>
                <w:sz w:val="24"/>
              </w:rPr>
            </w:pPr>
            <w:r>
              <w:rPr>
                <w:rFonts w:hint="eastAsia" w:ascii="方正小标宋简体" w:hAnsi="方正小标宋简体" w:eastAsia="方正小标宋简体" w:cs="方正小标宋简体"/>
                <w:b/>
                <w:color w:val="000000"/>
                <w:sz w:val="24"/>
              </w:rPr>
              <w:t>政务</w:t>
            </w:r>
          </w:p>
          <w:p>
            <w:pPr>
              <w:tabs>
                <w:tab w:val="left" w:pos="374"/>
              </w:tabs>
              <w:jc w:val="center"/>
              <w:rPr>
                <w:rFonts w:ascii="方正小标宋简体" w:hAnsi="方正小标宋简体" w:eastAsia="方正小标宋简体" w:cs="方正小标宋简体"/>
                <w:b/>
                <w:color w:val="000000"/>
                <w:sz w:val="24"/>
              </w:rPr>
            </w:pPr>
            <w:r>
              <w:rPr>
                <w:rFonts w:hint="eastAsia" w:ascii="方正小标宋简体" w:hAnsi="方正小标宋简体" w:eastAsia="方正小标宋简体" w:cs="方正小标宋简体"/>
                <w:b/>
                <w:color w:val="000000"/>
                <w:sz w:val="24"/>
              </w:rPr>
              <w:t>管理</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
                <w:color w:val="000000"/>
                <w:kern w:val="0"/>
                <w:sz w:val="24"/>
              </w:rPr>
            </w:pPr>
            <w:r>
              <w:rPr>
                <w:rFonts w:ascii="方正小标宋简体" w:hAnsi="方正小标宋简体" w:eastAsia="方正小标宋简体" w:cs="方正小标宋简体"/>
                <w:b/>
                <w:color w:val="000000"/>
                <w:kern w:val="0"/>
                <w:sz w:val="24"/>
              </w:rPr>
              <w:t>内务</w:t>
            </w:r>
          </w:p>
          <w:p>
            <w:pPr>
              <w:widowControl/>
              <w:jc w:val="center"/>
              <w:textAlignment w:val="center"/>
              <w:rPr>
                <w:rFonts w:ascii="方正小标宋简体" w:hAnsi="方正小标宋简体" w:eastAsia="方正小标宋简体" w:cs="方正小标宋简体"/>
                <w:b/>
                <w:color w:val="000000"/>
                <w:sz w:val="24"/>
              </w:rPr>
            </w:pPr>
            <w:r>
              <w:rPr>
                <w:rFonts w:ascii="方正小标宋简体" w:hAnsi="方正小标宋简体" w:eastAsia="方正小标宋简体" w:cs="方正小标宋简体"/>
                <w:b/>
                <w:color w:val="000000"/>
                <w:kern w:val="0"/>
                <w:sz w:val="24"/>
              </w:rPr>
              <w:t>管理</w:t>
            </w: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20.办公室内应保持干净整洁，按规定位置摆放办公用品，经检查不合格的，每次分别扣本室工作人员每人0.1分。</w:t>
            </w:r>
          </w:p>
        </w:tc>
        <w:tc>
          <w:tcPr>
            <w:tcW w:w="112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sz w:val="24"/>
              </w:rPr>
            </w:pPr>
            <w:r>
              <w:rPr>
                <w:rFonts w:hint="eastAsia" w:ascii="宋体" w:hAnsi="宋体" w:eastAsia="宋体" w:cs="方正小标宋简体"/>
                <w:b/>
                <w:color w:val="000000"/>
                <w:kern w:val="0"/>
                <w:sz w:val="24"/>
              </w:rPr>
              <w:t>办公室</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color w:val="000000"/>
                <w:sz w:val="24"/>
              </w:rPr>
            </w:pPr>
          </w:p>
        </w:tc>
      </w:tr>
      <w:tr>
        <w:tblPrEx>
          <w:tblCellMar>
            <w:top w:w="0" w:type="dxa"/>
            <w:left w:w="0" w:type="dxa"/>
            <w:bottom w:w="0" w:type="dxa"/>
            <w:right w:w="0" w:type="dxa"/>
          </w:tblCellMar>
        </w:tblPrEx>
        <w:trPr>
          <w:gridAfter w:val="5"/>
          <w:wAfter w:w="5625" w:type="dxa"/>
          <w:trHeight w:val="972" w:hRule="atLeast"/>
        </w:trPr>
        <w:tc>
          <w:tcPr>
            <w:tcW w:w="47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57" w:type="dxa"/>
            <w:gridSpan w:val="2"/>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21.故意损坏办公用品或因保管不善丢失办公用品的，除按价赔偿外，每次扣责任人0.5分。</w:t>
            </w:r>
          </w:p>
        </w:tc>
        <w:tc>
          <w:tcPr>
            <w:tcW w:w="112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color w:val="000000"/>
                <w:sz w:val="24"/>
              </w:rPr>
            </w:pPr>
          </w:p>
        </w:tc>
      </w:tr>
      <w:tr>
        <w:trPr>
          <w:gridAfter w:val="5"/>
          <w:wAfter w:w="5625" w:type="dxa"/>
          <w:trHeight w:val="1667" w:hRule="atLeast"/>
        </w:trPr>
        <w:tc>
          <w:tcPr>
            <w:tcW w:w="47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57" w:type="dxa"/>
            <w:gridSpan w:val="2"/>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23"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
                <w:color w:val="000000"/>
                <w:sz w:val="24"/>
              </w:rPr>
            </w:pPr>
            <w:r>
              <w:rPr>
                <w:rFonts w:ascii="方正小标宋简体" w:hAnsi="方正小标宋简体" w:eastAsia="方正小标宋简体" w:cs="方正小标宋简体"/>
                <w:b/>
                <w:color w:val="000000"/>
                <w:kern w:val="0"/>
                <w:sz w:val="24"/>
              </w:rPr>
              <w:t>机关安全管理</w:t>
            </w: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22.违反机关用电纪律及消防安全管理规定的，每次扣责任人0.2分；造成火灾等重大安全事故的，承担相应责任，同时视责任扣部门负责人1分、其他副职领导视责任扣0.5分。</w:t>
            </w:r>
          </w:p>
        </w:tc>
        <w:tc>
          <w:tcPr>
            <w:tcW w:w="112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color w:val="000000"/>
                <w:sz w:val="24"/>
              </w:rPr>
            </w:pPr>
          </w:p>
        </w:tc>
      </w:tr>
      <w:tr>
        <w:trPr>
          <w:gridAfter w:val="5"/>
          <w:wAfter w:w="5625" w:type="dxa"/>
          <w:trHeight w:val="1677" w:hRule="atLeast"/>
        </w:trPr>
        <w:tc>
          <w:tcPr>
            <w:tcW w:w="47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57" w:type="dxa"/>
            <w:gridSpan w:val="2"/>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23"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23.值班值宿人员不按时交接班，值班值宿期间迟到早退的，每次扣0.2分；无故脱岗、漏岗、未在值班室值班的，每次扣0.5分。</w:t>
            </w:r>
          </w:p>
        </w:tc>
        <w:tc>
          <w:tcPr>
            <w:tcW w:w="112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color w:val="000000"/>
                <w:sz w:val="24"/>
              </w:rPr>
            </w:pPr>
          </w:p>
        </w:tc>
      </w:tr>
      <w:tr>
        <w:trPr>
          <w:gridAfter w:val="5"/>
          <w:wAfter w:w="5625" w:type="dxa"/>
          <w:trHeight w:val="757" w:hRule="atLeast"/>
        </w:trPr>
        <w:tc>
          <w:tcPr>
            <w:tcW w:w="47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57" w:type="dxa"/>
            <w:gridSpan w:val="2"/>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23"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
                <w:color w:val="000000"/>
                <w:sz w:val="24"/>
              </w:rPr>
            </w:pPr>
            <w:r>
              <w:rPr>
                <w:rFonts w:ascii="方正小标宋简体" w:hAnsi="方正小标宋简体" w:eastAsia="方正小标宋简体" w:cs="方正小标宋简体"/>
                <w:b/>
                <w:color w:val="000000"/>
                <w:kern w:val="0"/>
                <w:sz w:val="24"/>
              </w:rPr>
              <w:t xml:space="preserve">诉讼 </w:t>
            </w:r>
            <w:r>
              <w:rPr>
                <w:rFonts w:ascii="方正小标宋简体" w:hAnsi="方正小标宋简体" w:eastAsia="方正小标宋简体" w:cs="方正小标宋简体"/>
                <w:b/>
                <w:color w:val="000000"/>
                <w:kern w:val="0"/>
                <w:sz w:val="24"/>
              </w:rPr>
              <w:br w:type="textWrapping"/>
            </w:r>
            <w:r>
              <w:rPr>
                <w:rFonts w:ascii="方正小标宋简体" w:hAnsi="方正小标宋简体" w:eastAsia="方正小标宋简体" w:cs="方正小标宋简体"/>
                <w:b/>
                <w:color w:val="000000"/>
                <w:kern w:val="0"/>
                <w:sz w:val="24"/>
              </w:rPr>
              <w:t xml:space="preserve">服务 </w:t>
            </w:r>
            <w:r>
              <w:rPr>
                <w:rFonts w:ascii="方正小标宋简体" w:hAnsi="方正小标宋简体" w:eastAsia="方正小标宋简体" w:cs="方正小标宋简体"/>
                <w:b/>
                <w:color w:val="000000"/>
                <w:kern w:val="0"/>
                <w:sz w:val="24"/>
              </w:rPr>
              <w:br w:type="textWrapping"/>
            </w:r>
            <w:r>
              <w:rPr>
                <w:rFonts w:ascii="方正小标宋简体" w:hAnsi="方正小标宋简体" w:eastAsia="方正小标宋简体" w:cs="方正小标宋简体"/>
                <w:b/>
                <w:color w:val="000000"/>
                <w:kern w:val="0"/>
                <w:sz w:val="24"/>
              </w:rPr>
              <w:t>“好差</w:t>
            </w:r>
            <w:r>
              <w:rPr>
                <w:rFonts w:ascii="方正小标宋简体" w:hAnsi="方正小标宋简体" w:eastAsia="方正小标宋简体" w:cs="方正小标宋简体"/>
                <w:b/>
                <w:color w:val="000000"/>
                <w:kern w:val="0"/>
                <w:sz w:val="24"/>
              </w:rPr>
              <w:br w:type="textWrapping"/>
            </w:r>
            <w:r>
              <w:rPr>
                <w:rFonts w:ascii="方正小标宋简体" w:hAnsi="方正小标宋简体" w:eastAsia="方正小标宋简体" w:cs="方正小标宋简体"/>
                <w:b/>
                <w:color w:val="000000"/>
                <w:kern w:val="0"/>
                <w:sz w:val="24"/>
              </w:rPr>
              <w:t>评”</w:t>
            </w: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24.部门人员受到“差评”并核查属实的，每人次扣0.1分。</w:t>
            </w:r>
          </w:p>
        </w:tc>
        <w:tc>
          <w:tcPr>
            <w:tcW w:w="112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r>
              <w:rPr>
                <w:rFonts w:ascii="宋体" w:hAnsi="宋体" w:eastAsia="宋体" w:cs="方正小标宋简体"/>
                <w:b/>
                <w:color w:val="000000"/>
                <w:kern w:val="0"/>
                <w:sz w:val="24"/>
              </w:rPr>
              <w:t>立案庭</w:t>
            </w:r>
          </w:p>
          <w:p>
            <w:pPr>
              <w:widowControl/>
              <w:jc w:val="center"/>
              <w:textAlignment w:val="center"/>
              <w:rPr>
                <w:rFonts w:ascii="宋体" w:hAnsi="宋体" w:eastAsia="宋体" w:cs="方正小标宋简体"/>
                <w:b/>
                <w:color w:val="000000"/>
                <w:kern w:val="0"/>
                <w:sz w:val="24"/>
              </w:rPr>
            </w:pPr>
            <w:r>
              <w:rPr>
                <w:rFonts w:hint="eastAsia" w:ascii="宋体" w:hAnsi="宋体" w:eastAsia="宋体" w:cs="方正小标宋简体"/>
                <w:b/>
                <w:color w:val="000000"/>
                <w:kern w:val="0"/>
                <w:sz w:val="24"/>
              </w:rPr>
              <w:t>（诉讼服务中心）</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color w:val="000000"/>
                <w:sz w:val="24"/>
              </w:rPr>
            </w:pPr>
          </w:p>
        </w:tc>
      </w:tr>
      <w:tr>
        <w:tblPrEx>
          <w:tblCellMar>
            <w:top w:w="0" w:type="dxa"/>
            <w:left w:w="0" w:type="dxa"/>
            <w:bottom w:w="0" w:type="dxa"/>
            <w:right w:w="0" w:type="dxa"/>
          </w:tblCellMar>
        </w:tblPrEx>
        <w:trPr>
          <w:gridAfter w:val="5"/>
          <w:wAfter w:w="5625" w:type="dxa"/>
          <w:trHeight w:val="1547" w:hRule="atLeast"/>
        </w:trPr>
        <w:tc>
          <w:tcPr>
            <w:tcW w:w="47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57" w:type="dxa"/>
            <w:gridSpan w:val="2"/>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23"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25.不按要求及时完成“差评”整改工作任务的，每件次扣0.2分。</w:t>
            </w:r>
          </w:p>
        </w:tc>
        <w:tc>
          <w:tcPr>
            <w:tcW w:w="1125" w:type="dxa"/>
            <w:vMerge w:val="continue"/>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方正小标宋简体"/>
                <w:b/>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color w:val="000000"/>
                <w:sz w:val="24"/>
              </w:rPr>
            </w:pPr>
          </w:p>
        </w:tc>
      </w:tr>
      <w:tr>
        <w:trPr>
          <w:gridAfter w:val="5"/>
          <w:wAfter w:w="5625" w:type="dxa"/>
          <w:trHeight w:val="1415" w:hRule="atLeast"/>
        </w:trPr>
        <w:tc>
          <w:tcPr>
            <w:tcW w:w="47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57" w:type="dxa"/>
            <w:gridSpan w:val="2"/>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
                <w:color w:val="000000"/>
                <w:kern w:val="0"/>
                <w:sz w:val="24"/>
              </w:rPr>
            </w:pPr>
            <w:r>
              <w:rPr>
                <w:rFonts w:ascii="方正小标宋简体" w:hAnsi="方正小标宋简体" w:eastAsia="方正小标宋简体" w:cs="方正小标宋简体"/>
                <w:b/>
                <w:color w:val="000000"/>
                <w:kern w:val="0"/>
                <w:sz w:val="24"/>
              </w:rPr>
              <w:t>绩效</w:t>
            </w:r>
          </w:p>
          <w:p>
            <w:pPr>
              <w:widowControl/>
              <w:jc w:val="center"/>
              <w:textAlignment w:val="center"/>
              <w:rPr>
                <w:rFonts w:ascii="方正小标宋简体" w:hAnsi="方正小标宋简体" w:eastAsia="方正小标宋简体" w:cs="方正小标宋简体"/>
                <w:b/>
                <w:color w:val="000000"/>
                <w:sz w:val="24"/>
              </w:rPr>
            </w:pPr>
            <w:r>
              <w:rPr>
                <w:rFonts w:ascii="方正小标宋简体" w:hAnsi="方正小标宋简体" w:eastAsia="方正小标宋简体" w:cs="方正小标宋简体"/>
                <w:b/>
                <w:color w:val="000000"/>
                <w:kern w:val="0"/>
                <w:sz w:val="24"/>
              </w:rPr>
              <w:t>考核</w:t>
            </w: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30.考核联络员不及时在回复绩效考核工作通知的，每次扣0.05分；未按通知要求报送考核数据材料的，每次扣0.05分；报送的考核材料弄虚作假、不符合报送要求的，每次扣0.1分。</w:t>
            </w: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p>
        </w:tc>
        <w:tc>
          <w:tcPr>
            <w:tcW w:w="112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方正小标宋简体"/>
                <w:b/>
                <w:color w:val="000000"/>
                <w:kern w:val="0"/>
                <w:sz w:val="24"/>
              </w:rPr>
            </w:pPr>
            <w:r>
              <w:rPr>
                <w:rFonts w:hint="eastAsia" w:ascii="宋体" w:hAnsi="宋体" w:eastAsia="宋体" w:cs="方正小标宋简体"/>
                <w:b/>
                <w:color w:val="000000"/>
                <w:kern w:val="0"/>
                <w:sz w:val="24"/>
              </w:rPr>
              <w:t>政治部</w:t>
            </w:r>
          </w:p>
          <w:p>
            <w:pPr>
              <w:jc w:val="center"/>
              <w:rPr>
                <w:rFonts w:ascii="宋体" w:hAnsi="宋体" w:eastAsia="宋体" w:cs="方正小标宋简体"/>
                <w:b/>
                <w:color w:val="000000"/>
                <w:kern w:val="0"/>
                <w:sz w:val="24"/>
              </w:rPr>
            </w:pPr>
            <w:r>
              <w:rPr>
                <w:rFonts w:hint="eastAsia" w:ascii="宋体" w:hAnsi="宋体" w:eastAsia="宋体" w:cs="方正小标宋简体"/>
                <w:b/>
                <w:color w:val="000000"/>
                <w:kern w:val="0"/>
                <w:sz w:val="24"/>
              </w:rPr>
              <w:t>（督察室）</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color w:val="000000"/>
                <w:sz w:val="24"/>
              </w:rPr>
            </w:pPr>
          </w:p>
        </w:tc>
      </w:tr>
      <w:tr>
        <w:tblPrEx>
          <w:tblCellMar>
            <w:top w:w="0" w:type="dxa"/>
            <w:left w:w="0" w:type="dxa"/>
            <w:bottom w:w="0" w:type="dxa"/>
            <w:right w:w="0" w:type="dxa"/>
          </w:tblCellMar>
        </w:tblPrEx>
        <w:trPr>
          <w:gridAfter w:val="5"/>
          <w:wAfter w:w="5625" w:type="dxa"/>
          <w:trHeight w:val="1536" w:hRule="atLeast"/>
        </w:trPr>
        <w:tc>
          <w:tcPr>
            <w:tcW w:w="47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57" w:type="dxa"/>
            <w:gridSpan w:val="2"/>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31.各部门要积极配合完成市中院绩效考核任务，未按要求申报本院绩效考核指标的，扣0.2分；未按要求报送考核材料的，每次扣0.1分；未按要求履行迎接市中院及本院绩效考核职责的，每次扣0.5分。</w:t>
            </w: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r>
              <w:rPr>
                <w:rFonts w:ascii="方正小标宋简体" w:hAnsi="方正小标宋简体" w:eastAsia="方正小标宋简体" w:cs="方正小标宋简体"/>
                <w:b/>
                <w:color w:val="000000"/>
                <w:sz w:val="24"/>
              </w:rPr>
              <w:pict>
                <v:shape id="_x0000_s1100" o:spid="_x0000_s1100" o:spt="32" type="#_x0000_t32" style="position:absolute;left:0pt;margin-left:206.85pt;margin-top:76.9pt;height:0pt;width:111.1pt;z-index:251674624;mso-width-relative:page;mso-height-relative:page;" o:connectortype="straight" filled="f" coordsize="21600,21600">
                  <v:path arrowok="t"/>
                  <v:fill on="f" focussize="0,0"/>
                  <v:stroke/>
                  <v:imagedata o:title=""/>
                  <o:lock v:ext="edit"/>
                </v:shape>
              </w:pict>
            </w:r>
          </w:p>
        </w:tc>
        <w:tc>
          <w:tcPr>
            <w:tcW w:w="1125" w:type="dxa"/>
            <w:vMerge w:val="continue"/>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color w:val="000000"/>
                <w:sz w:val="24"/>
              </w:rPr>
            </w:pPr>
          </w:p>
        </w:tc>
      </w:tr>
      <w:tr>
        <w:trPr>
          <w:gridAfter w:val="5"/>
          <w:wAfter w:w="5625" w:type="dxa"/>
          <w:trHeight w:val="3521" w:hRule="atLeast"/>
        </w:trPr>
        <w:tc>
          <w:tcPr>
            <w:tcW w:w="4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
                <w:color w:val="000000"/>
                <w:kern w:val="0"/>
                <w:sz w:val="24"/>
              </w:rPr>
            </w:pPr>
            <w:r>
              <w:rPr>
                <w:rFonts w:ascii="方正小标宋简体" w:hAnsi="方正小标宋简体" w:eastAsia="方正小标宋简体" w:cs="方正小标宋简体"/>
                <w:b/>
                <w:color w:val="000000"/>
                <w:kern w:val="0"/>
                <w:sz w:val="24"/>
              </w:rPr>
              <w:t>全面从严治院</w:t>
            </w:r>
          </w:p>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sz w:val="24"/>
              </w:rPr>
            </w:pPr>
            <w:r>
              <w:rPr>
                <w:rFonts w:ascii="方正小标宋简体" w:hAnsi="方正小标宋简体" w:eastAsia="方正小标宋简体" w:cs="方正小标宋简体"/>
                <w:b/>
                <w:color w:val="000000"/>
                <w:kern w:val="0"/>
                <w:sz w:val="24"/>
              </w:rPr>
              <w:t>全面从严治院</w:t>
            </w:r>
          </w:p>
        </w:tc>
        <w:tc>
          <w:tcPr>
            <w:tcW w:w="8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r>
              <w:rPr>
                <w:rFonts w:ascii="方正小标宋简体" w:hAnsi="方正小标宋简体" w:eastAsia="方正小标宋简体" w:cs="方正小标宋简体"/>
                <w:b/>
                <w:color w:val="000000"/>
                <w:kern w:val="0"/>
                <w:sz w:val="24"/>
              </w:rPr>
              <w:t>队伍</w:t>
            </w:r>
          </w:p>
          <w:p>
            <w:pPr>
              <w:widowControl/>
              <w:jc w:val="center"/>
              <w:textAlignment w:val="center"/>
              <w:rPr>
                <w:rFonts w:ascii="方正小标宋简体" w:hAnsi="方正小标宋简体" w:eastAsia="方正小标宋简体" w:cs="方正小标宋简体"/>
                <w:b/>
                <w:color w:val="000000"/>
                <w:kern w:val="0"/>
                <w:sz w:val="24"/>
              </w:rPr>
            </w:pPr>
            <w:r>
              <w:rPr>
                <w:rFonts w:ascii="方正小标宋简体" w:hAnsi="方正小标宋简体" w:eastAsia="方正小标宋简体" w:cs="方正小标宋简体"/>
                <w:b/>
                <w:color w:val="000000"/>
                <w:kern w:val="0"/>
                <w:sz w:val="24"/>
              </w:rPr>
              <w:t>管理</w:t>
            </w:r>
          </w:p>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r>
              <w:rPr>
                <w:rFonts w:ascii="方正小标宋简体" w:hAnsi="方正小标宋简体" w:eastAsia="方正小标宋简体" w:cs="方正小标宋简体"/>
                <w:b/>
                <w:color w:val="000000"/>
                <w:kern w:val="0"/>
                <w:sz w:val="24"/>
              </w:rPr>
              <w:t>队伍</w:t>
            </w:r>
          </w:p>
          <w:p>
            <w:pPr>
              <w:widowControl/>
              <w:jc w:val="center"/>
              <w:textAlignment w:val="center"/>
              <w:rPr>
                <w:rFonts w:ascii="方正小标宋简体" w:hAnsi="方正小标宋简体" w:eastAsia="方正小标宋简体" w:cs="方正小标宋简体"/>
                <w:b/>
                <w:color w:val="000000"/>
                <w:kern w:val="0"/>
                <w:sz w:val="24"/>
              </w:rPr>
            </w:pPr>
            <w:r>
              <w:rPr>
                <w:rFonts w:ascii="方正小标宋简体" w:hAnsi="方正小标宋简体" w:eastAsia="方正小标宋简体" w:cs="方正小标宋简体"/>
                <w:b/>
                <w:color w:val="000000"/>
                <w:kern w:val="0"/>
                <w:sz w:val="24"/>
              </w:rPr>
              <w:t>管理</w:t>
            </w:r>
          </w:p>
          <w:p>
            <w:pPr>
              <w:widowControl/>
              <w:jc w:val="center"/>
              <w:textAlignment w:val="center"/>
              <w:rPr>
                <w:rFonts w:ascii="方正小标宋简体" w:hAnsi="方正小标宋简体" w:eastAsia="方正小标宋简体" w:cs="方正小标宋简体"/>
                <w:b/>
                <w:color w:val="000000"/>
                <w:sz w:val="24"/>
              </w:rPr>
            </w:pP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r>
              <w:rPr>
                <w:rFonts w:ascii="方正小标宋简体" w:hAnsi="方正小标宋简体" w:eastAsia="方正小标宋简体" w:cs="方正小标宋简体"/>
                <w:b/>
                <w:color w:val="000000"/>
                <w:kern w:val="0"/>
                <w:sz w:val="24"/>
              </w:rPr>
              <w:t>干部日</w:t>
            </w:r>
            <w:r>
              <w:rPr>
                <w:rFonts w:ascii="方正小标宋简体" w:hAnsi="方正小标宋简体" w:eastAsia="方正小标宋简体" w:cs="方正小标宋简体"/>
                <w:b/>
                <w:color w:val="000000"/>
                <w:kern w:val="0"/>
                <w:sz w:val="24"/>
              </w:rPr>
              <w:br w:type="textWrapping"/>
            </w:r>
            <w:r>
              <w:rPr>
                <w:rFonts w:ascii="方正小标宋简体" w:hAnsi="方正小标宋简体" w:eastAsia="方正小标宋简体" w:cs="方正小标宋简体"/>
                <w:b/>
                <w:color w:val="000000"/>
                <w:kern w:val="0"/>
                <w:sz w:val="24"/>
              </w:rPr>
              <w:t>常管理</w:t>
            </w:r>
          </w:p>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p>
          <w:p>
            <w:pPr>
              <w:widowControl/>
              <w:jc w:val="center"/>
              <w:textAlignment w:val="center"/>
              <w:rPr>
                <w:rFonts w:ascii="方正小标宋简体" w:hAnsi="方正小标宋简体" w:eastAsia="方正小标宋简体" w:cs="方正小标宋简体"/>
                <w:b/>
                <w:color w:val="000000"/>
                <w:kern w:val="0"/>
                <w:sz w:val="24"/>
              </w:rPr>
            </w:pPr>
            <w:r>
              <w:rPr>
                <w:rFonts w:ascii="方正小标宋简体" w:hAnsi="方正小标宋简体" w:eastAsia="方正小标宋简体" w:cs="方正小标宋简体"/>
                <w:b/>
                <w:color w:val="000000"/>
                <w:kern w:val="0"/>
                <w:sz w:val="24"/>
              </w:rPr>
              <w:t>干部日</w:t>
            </w:r>
            <w:r>
              <w:rPr>
                <w:rFonts w:ascii="方正小标宋简体" w:hAnsi="方正小标宋简体" w:eastAsia="方正小标宋简体" w:cs="方正小标宋简体"/>
                <w:b/>
                <w:color w:val="000000"/>
                <w:kern w:val="0"/>
                <w:sz w:val="24"/>
              </w:rPr>
              <w:br w:type="textWrapping"/>
            </w:r>
            <w:r>
              <w:rPr>
                <w:rFonts w:ascii="方正小标宋简体" w:hAnsi="方正小标宋简体" w:eastAsia="方正小标宋简体" w:cs="方正小标宋简体"/>
                <w:b/>
                <w:color w:val="000000"/>
                <w:kern w:val="0"/>
                <w:sz w:val="24"/>
              </w:rPr>
              <w:t>常管理</w:t>
            </w:r>
          </w:p>
          <w:p>
            <w:pPr>
              <w:widowControl/>
              <w:jc w:val="center"/>
              <w:textAlignment w:val="center"/>
              <w:rPr>
                <w:rFonts w:ascii="方正小标宋简体" w:hAnsi="方正小标宋简体" w:eastAsia="方正小标宋简体" w:cs="方正小标宋简体"/>
                <w:b/>
                <w:color w:val="000000"/>
                <w:sz w:val="24"/>
              </w:rPr>
            </w:pP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26.部门人员未按相关部门要求完成年度公务员培训、干部调训、集中轮训的，每人次扣0.1分。违反脱产培训纪律的，每人次扣0.2分。部门人员参加网络培训时，半年未开始学习的，每人次扣0.2分；当年 11 月 30 日之前未完成学习任务的，每人次扣0.5分。</w:t>
            </w:r>
            <w:r>
              <w:rPr>
                <w:rFonts w:hint="eastAsia" w:ascii="宋体" w:hAnsi="宋体" w:eastAsia="宋体" w:cs="宋体"/>
                <w:b/>
                <w:color w:val="C00000"/>
                <w:kern w:val="0"/>
                <w:sz w:val="22"/>
                <w:szCs w:val="22"/>
                <w:u w:val="single"/>
              </w:rPr>
              <w:t>（新增无正当理由不参加平时考核的，每人次扣0.1分）</w:t>
            </w:r>
          </w:p>
        </w:tc>
        <w:tc>
          <w:tcPr>
            <w:tcW w:w="112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ind w:firstLine="241" w:firstLineChars="100"/>
              <w:textAlignment w:val="center"/>
              <w:rPr>
                <w:rFonts w:ascii="宋体" w:hAnsi="宋体" w:eastAsia="宋体" w:cs="方正小标宋简体"/>
                <w:b/>
                <w:color w:val="000000"/>
                <w:kern w:val="0"/>
                <w:sz w:val="24"/>
              </w:rPr>
            </w:pPr>
          </w:p>
          <w:p>
            <w:pPr>
              <w:widowControl/>
              <w:ind w:firstLine="241" w:firstLineChars="100"/>
              <w:textAlignment w:val="center"/>
              <w:rPr>
                <w:rFonts w:ascii="宋体" w:hAnsi="宋体" w:eastAsia="宋体" w:cs="方正小标宋简体"/>
                <w:b/>
                <w:color w:val="000000"/>
                <w:kern w:val="0"/>
                <w:sz w:val="24"/>
              </w:rPr>
            </w:pPr>
          </w:p>
          <w:p>
            <w:pPr>
              <w:widowControl/>
              <w:ind w:firstLine="241" w:firstLineChars="100"/>
              <w:textAlignment w:val="center"/>
              <w:rPr>
                <w:rFonts w:ascii="宋体" w:hAnsi="宋体" w:eastAsia="宋体" w:cs="方正小标宋简体"/>
                <w:b/>
                <w:color w:val="000000"/>
                <w:kern w:val="0"/>
                <w:sz w:val="24"/>
              </w:rPr>
            </w:pPr>
          </w:p>
          <w:p>
            <w:pPr>
              <w:widowControl/>
              <w:ind w:firstLine="241" w:firstLineChars="100"/>
              <w:textAlignment w:val="center"/>
              <w:rPr>
                <w:rFonts w:ascii="宋体" w:hAnsi="宋体" w:eastAsia="宋体" w:cs="方正小标宋简体"/>
                <w:b/>
                <w:color w:val="000000"/>
                <w:kern w:val="0"/>
                <w:sz w:val="24"/>
              </w:rPr>
            </w:pPr>
          </w:p>
          <w:p>
            <w:pPr>
              <w:widowControl/>
              <w:ind w:firstLine="241" w:firstLineChars="100"/>
              <w:textAlignment w:val="center"/>
              <w:rPr>
                <w:rFonts w:ascii="宋体" w:hAnsi="宋体" w:eastAsia="宋体" w:cs="方正小标宋简体"/>
                <w:b/>
                <w:color w:val="000000"/>
                <w:kern w:val="0"/>
                <w:sz w:val="24"/>
              </w:rPr>
            </w:pPr>
          </w:p>
          <w:p>
            <w:pPr>
              <w:widowControl/>
              <w:ind w:firstLine="241" w:firstLineChars="100"/>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r>
              <w:rPr>
                <w:rFonts w:hint="eastAsia" w:ascii="宋体" w:hAnsi="宋体" w:eastAsia="宋体" w:cs="方正小标宋简体"/>
                <w:b/>
                <w:color w:val="000000"/>
                <w:kern w:val="0"/>
                <w:sz w:val="24"/>
              </w:rPr>
              <w:t>政治部</w:t>
            </w:r>
          </w:p>
          <w:p>
            <w:pPr>
              <w:widowControl/>
              <w:jc w:val="center"/>
              <w:textAlignment w:val="center"/>
              <w:rPr>
                <w:rFonts w:ascii="宋体" w:hAnsi="宋体" w:eastAsia="宋体" w:cs="方正小标宋简体"/>
                <w:b/>
                <w:color w:val="000000"/>
                <w:kern w:val="0"/>
                <w:sz w:val="24"/>
              </w:rPr>
            </w:pPr>
            <w:r>
              <w:rPr>
                <w:rFonts w:hint="eastAsia" w:ascii="宋体" w:hAnsi="宋体" w:eastAsia="宋体" w:cs="方正小标宋简体"/>
                <w:b/>
                <w:color w:val="000000"/>
                <w:kern w:val="0"/>
                <w:sz w:val="24"/>
              </w:rPr>
              <w:t>（督察室）</w:t>
            </w: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jc w:val="center"/>
              <w:textAlignment w:val="center"/>
              <w:rPr>
                <w:rFonts w:ascii="宋体" w:hAnsi="宋体" w:eastAsia="宋体" w:cs="方正小标宋简体"/>
                <w:b/>
                <w:color w:val="000000"/>
                <w:kern w:val="0"/>
                <w:sz w:val="24"/>
              </w:rPr>
            </w:pPr>
          </w:p>
          <w:p>
            <w:pPr>
              <w:widowControl/>
              <w:textAlignment w:val="center"/>
              <w:rPr>
                <w:rFonts w:ascii="宋体" w:hAnsi="宋体" w:eastAsia="宋体" w:cs="方正小标宋简体"/>
                <w:b/>
                <w:color w:val="000000"/>
                <w:kern w:val="0"/>
                <w:sz w:val="24"/>
              </w:rPr>
            </w:pPr>
          </w:p>
          <w:p>
            <w:pPr>
              <w:widowControl/>
              <w:ind w:firstLine="241" w:firstLineChars="100"/>
              <w:textAlignment w:val="center"/>
              <w:rPr>
                <w:rFonts w:ascii="宋体" w:hAnsi="宋体" w:eastAsia="宋体" w:cs="方正小标宋简体"/>
                <w:b/>
                <w:color w:val="000000"/>
                <w:kern w:val="0"/>
                <w:sz w:val="24"/>
              </w:rPr>
            </w:pPr>
          </w:p>
          <w:p>
            <w:pPr>
              <w:widowControl/>
              <w:ind w:firstLine="241" w:firstLineChars="100"/>
              <w:textAlignment w:val="center"/>
              <w:rPr>
                <w:rFonts w:ascii="宋体" w:hAnsi="宋体" w:eastAsia="宋体" w:cs="方正小标宋简体"/>
                <w:b/>
                <w:color w:val="000000"/>
                <w:kern w:val="0"/>
                <w:sz w:val="24"/>
              </w:rPr>
            </w:pPr>
          </w:p>
          <w:p>
            <w:pPr>
              <w:widowControl/>
              <w:ind w:firstLine="241" w:firstLineChars="100"/>
              <w:textAlignment w:val="center"/>
              <w:rPr>
                <w:rFonts w:ascii="宋体" w:hAnsi="宋体" w:eastAsia="宋体" w:cs="方正小标宋简体"/>
                <w:b/>
                <w:color w:val="000000"/>
                <w:kern w:val="0"/>
                <w:sz w:val="24"/>
              </w:rPr>
            </w:pPr>
          </w:p>
          <w:p>
            <w:pPr>
              <w:widowControl/>
              <w:ind w:firstLine="241" w:firstLineChars="100"/>
              <w:textAlignment w:val="center"/>
              <w:rPr>
                <w:rFonts w:ascii="宋体" w:hAnsi="宋体" w:eastAsia="宋体" w:cs="方正小标宋简体"/>
                <w:b/>
                <w:color w:val="000000"/>
                <w:kern w:val="0"/>
                <w:sz w:val="24"/>
              </w:rPr>
            </w:pPr>
            <w:r>
              <w:rPr>
                <w:rFonts w:hint="eastAsia" w:ascii="宋体" w:hAnsi="宋体" w:eastAsia="宋体" w:cs="方正小标宋简体"/>
                <w:b/>
                <w:color w:val="000000"/>
                <w:kern w:val="0"/>
                <w:sz w:val="24"/>
              </w:rPr>
              <w:t>政治部</w:t>
            </w:r>
          </w:p>
          <w:p>
            <w:pPr>
              <w:widowControl/>
              <w:jc w:val="center"/>
              <w:textAlignment w:val="center"/>
              <w:rPr>
                <w:rFonts w:ascii="方正小标宋简体" w:hAnsi="方正小标宋简体" w:eastAsia="方正小标宋简体" w:cs="方正小标宋简体"/>
                <w:b/>
                <w:color w:val="000000"/>
                <w:sz w:val="24"/>
              </w:rPr>
            </w:pPr>
            <w:r>
              <w:rPr>
                <w:rFonts w:hint="eastAsia" w:ascii="宋体" w:hAnsi="宋体" w:eastAsia="宋体" w:cs="方正小标宋简体"/>
                <w:b/>
                <w:color w:val="000000"/>
                <w:kern w:val="0"/>
                <w:sz w:val="24"/>
              </w:rPr>
              <w:t>（督察室）</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color w:val="000000"/>
                <w:sz w:val="24"/>
              </w:rPr>
            </w:pPr>
          </w:p>
        </w:tc>
      </w:tr>
      <w:tr>
        <w:tblPrEx>
          <w:tblCellMar>
            <w:top w:w="0" w:type="dxa"/>
            <w:left w:w="0" w:type="dxa"/>
            <w:bottom w:w="0" w:type="dxa"/>
            <w:right w:w="0" w:type="dxa"/>
          </w:tblCellMar>
        </w:tblPrEx>
        <w:trPr>
          <w:gridAfter w:val="5"/>
          <w:wAfter w:w="5625" w:type="dxa"/>
          <w:trHeight w:val="2098" w:hRule="atLeast"/>
        </w:trPr>
        <w:tc>
          <w:tcPr>
            <w:tcW w:w="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rPr>
              <w:pict>
                <v:shape id="_x0000_s1094" o:spid="_x0000_s1094" o:spt="32" type="#_x0000_t32" style="position:absolute;left:0pt;margin-left:239.8pt;margin-top:105.25pt;height:0pt;width:56.7pt;z-index:251672576;mso-width-relative:page;mso-height-relative:page;" o:connectortype="straight" filled="f" coordsize="21600,21600">
                  <v:path arrowok="t"/>
                  <v:fill on="f" focussize="0,0"/>
                  <v:stroke/>
                  <v:imagedata o:title=""/>
                  <o:lock v:ext="edit"/>
                </v:shape>
              </w:pict>
            </w:r>
            <w:r>
              <w:rPr>
                <w:rFonts w:hint="eastAsia" w:ascii="宋体" w:hAnsi="宋体" w:eastAsia="宋体" w:cs="宋体"/>
                <w:color w:val="000000"/>
                <w:kern w:val="0"/>
                <w:sz w:val="22"/>
                <w:szCs w:val="22"/>
              </w:rPr>
              <w:t>27.未按要求时限报告个人有关事项的，每人次扣0.3分；未如实报告个人有关事项的，经核查比对认定为基本一致、漏报、瞒报的，每人次分别扣0.2分、0.3分、0.5分。部门人员违反因私出国（境）管理制度的，每人次扣 0.05 分。</w:t>
            </w:r>
          </w:p>
        </w:tc>
        <w:tc>
          <w:tcPr>
            <w:tcW w:w="112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color w:val="000000"/>
                <w:sz w:val="24"/>
              </w:rPr>
            </w:pPr>
          </w:p>
        </w:tc>
      </w:tr>
      <w:tr>
        <w:trPr>
          <w:gridAfter w:val="5"/>
          <w:wAfter w:w="5625" w:type="dxa"/>
          <w:trHeight w:val="2671" w:hRule="atLeast"/>
        </w:trPr>
        <w:tc>
          <w:tcPr>
            <w:tcW w:w="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28.部门人员无正当理由迟到、早退，每人次扣0.05分；无故缺勤的，视为旷工，每人次扣0.1分；利用虚拟软件考勤的，每人次扣0.5分；（</w:t>
            </w:r>
            <w:r>
              <w:rPr>
                <w:rFonts w:hint="eastAsia" w:ascii="宋体" w:hAnsi="宋体" w:eastAsia="宋体" w:cs="宋体"/>
                <w:b/>
                <w:color w:val="C00000"/>
                <w:kern w:val="0"/>
                <w:sz w:val="22"/>
                <w:szCs w:val="22"/>
                <w:u w:val="single"/>
              </w:rPr>
              <w:t>增加：未按要求履行请销假手续或请销假手续不真实的，每人次扣0.1分；部门负责人私自批准病、事假，不按规定向政治部（督察室）备案的，每人次扣0.1分；</w:t>
            </w:r>
            <w:r>
              <w:rPr>
                <w:rFonts w:hint="eastAsia" w:ascii="宋体" w:hAnsi="宋体" w:eastAsia="宋体" w:cs="宋体"/>
                <w:color w:val="000000"/>
                <w:kern w:val="0"/>
                <w:sz w:val="22"/>
                <w:szCs w:val="22"/>
              </w:rPr>
              <w:t>）上班时间不按规定着装的，每人次扣0.05分。</w:t>
            </w:r>
          </w:p>
        </w:tc>
        <w:tc>
          <w:tcPr>
            <w:tcW w:w="112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color w:val="000000"/>
                <w:sz w:val="24"/>
              </w:rPr>
            </w:pPr>
          </w:p>
        </w:tc>
      </w:tr>
      <w:tr>
        <w:trPr>
          <w:gridAfter w:val="5"/>
          <w:wAfter w:w="5625" w:type="dxa"/>
          <w:trHeight w:val="3800" w:hRule="atLeast"/>
        </w:trPr>
        <w:tc>
          <w:tcPr>
            <w:tcW w:w="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5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4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29.违反以下八条禁令情形人员，以政治部（督察室）每期通报结果为依据，对每次被通报的个人绩效考核扣0.01分，全年累计5次以上取消优秀档次评定资格：①不得迟到早退。②参会人员名单确定后，不得无故缺席或委派他人替会。③严格规范着装，不得出现着装混搭现象。④会议期间手机调至震动或静音状态，不得在会场接打电话和低头玩手机。⑤不准交头接耳。⑥不准打瞌睡。⑦不准随意走动。⑧参会人员要认真听会并做好会议记录，不准从事与会议无关的事情。</w:t>
            </w:r>
          </w:p>
        </w:tc>
        <w:tc>
          <w:tcPr>
            <w:tcW w:w="112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b/>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小标宋简体" w:hAnsi="方正小标宋简体" w:eastAsia="方正小标宋简体" w:cs="方正小标宋简体"/>
                <w:color w:val="000000"/>
                <w:sz w:val="24"/>
              </w:rPr>
            </w:pPr>
          </w:p>
        </w:tc>
      </w:tr>
      <w:tr>
        <w:trPr>
          <w:trHeight w:val="667" w:hRule="atLeast"/>
        </w:trPr>
        <w:tc>
          <w:tcPr>
            <w:tcW w:w="15141" w:type="dxa"/>
            <w:gridSpan w:val="8"/>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方正小标宋简体" w:hAnsi="方正小标宋简体" w:eastAsia="方正小标宋简体" w:cs="方正小标宋简体"/>
                <w:b/>
                <w:color w:val="000000"/>
                <w:sz w:val="28"/>
                <w:szCs w:val="28"/>
              </w:rPr>
            </w:pPr>
            <w:r>
              <w:rPr>
                <w:rFonts w:ascii="方正小标宋简体" w:hAnsi="方正小标宋简体" w:eastAsia="方正小标宋简体" w:cs="方正小标宋简体"/>
                <w:b/>
                <w:color w:val="000000"/>
                <w:kern w:val="0"/>
                <w:sz w:val="28"/>
                <w:szCs w:val="28"/>
              </w:rPr>
              <w:t>备注：</w:t>
            </w:r>
            <w:r>
              <w:rPr>
                <w:rFonts w:ascii="方正小标宋简体" w:hAnsi="方正小标宋简体" w:eastAsia="方正小标宋简体" w:cs="方正小标宋简体"/>
                <w:color w:val="000000"/>
                <w:kern w:val="0"/>
                <w:sz w:val="24"/>
              </w:rPr>
              <w:t>共性指标中在对个人进行扣分的同时，年终也将扣减部门分数。</w:t>
            </w:r>
          </w:p>
        </w:tc>
        <w:tc>
          <w:tcPr>
            <w:tcW w:w="1125" w:type="dxa"/>
          </w:tcPr>
          <w:p>
            <w:pPr>
              <w:widowControl/>
              <w:jc w:val="left"/>
            </w:pPr>
          </w:p>
        </w:tc>
        <w:tc>
          <w:tcPr>
            <w:tcW w:w="1125" w:type="dxa"/>
          </w:tcPr>
          <w:p>
            <w:pPr>
              <w:widowControl/>
              <w:jc w:val="left"/>
            </w:pPr>
          </w:p>
        </w:tc>
        <w:tc>
          <w:tcPr>
            <w:tcW w:w="1125" w:type="dxa"/>
          </w:tcPr>
          <w:p>
            <w:pPr>
              <w:widowControl/>
              <w:jc w:val="left"/>
            </w:pPr>
          </w:p>
        </w:tc>
        <w:tc>
          <w:tcPr>
            <w:tcW w:w="1125" w:type="dxa"/>
          </w:tcPr>
          <w:p>
            <w:pPr>
              <w:widowControl/>
              <w:jc w:val="left"/>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小标宋简体" w:hAnsi="方正小标宋简体" w:eastAsia="方正小标宋简体" w:cs="方正小标宋简体"/>
                <w:b/>
                <w:color w:val="000000"/>
                <w:sz w:val="24"/>
              </w:rPr>
            </w:pPr>
            <w:r>
              <w:rPr>
                <w:rFonts w:ascii="方正小标宋简体" w:hAnsi="方正小标宋简体" w:eastAsia="方正小标宋简体" w:cs="方正小标宋简体"/>
                <w:b/>
                <w:color w:val="000000"/>
                <w:kern w:val="0"/>
                <w:sz w:val="24"/>
              </w:rPr>
              <w:t>干部处</w:t>
            </w:r>
          </w:p>
        </w:tc>
      </w:tr>
    </w:tbl>
    <w:p>
      <w:pPr>
        <w:spacing w:line="600" w:lineRule="exact"/>
        <w:rPr>
          <w:rFonts w:ascii="仿宋" w:hAnsi="仿宋" w:eastAsia="仿宋" w:cs="仿宋"/>
          <w:sz w:val="32"/>
          <w:szCs w:val="32"/>
        </w:rPr>
        <w:sectPr>
          <w:footerReference r:id="rId3" w:type="default"/>
          <w:pgSz w:w="16838" w:h="11906" w:orient="landscape"/>
          <w:pgMar w:top="907" w:right="1020" w:bottom="907" w:left="1020" w:header="851" w:footer="992" w:gutter="0"/>
          <w:cols w:space="720" w:num="1"/>
          <w:docGrid w:type="lines" w:linePitch="312" w:charSpace="0"/>
        </w:sectPr>
      </w:pPr>
    </w:p>
    <w:p>
      <w:pPr>
        <w:spacing w:line="600" w:lineRule="exact"/>
        <w:rPr>
          <w:rFonts w:ascii="宋体" w:hAnsi="宋体" w:eastAsia="宋体" w:cs="Times New Roman"/>
          <w:b/>
          <w:sz w:val="24"/>
        </w:rPr>
      </w:pPr>
      <w:r>
        <w:rPr>
          <w:rFonts w:hint="eastAsia" w:ascii="宋体" w:hAnsi="宋体" w:eastAsia="宋体" w:cs="Times New Roman"/>
          <w:b/>
          <w:sz w:val="24"/>
        </w:rPr>
        <w:t>附件2</w:t>
      </w:r>
    </w:p>
    <w:p>
      <w:pPr>
        <w:spacing w:line="570" w:lineRule="exact"/>
        <w:jc w:val="center"/>
        <w:rPr>
          <w:rFonts w:ascii="宋体" w:hAnsi="宋体" w:eastAsia="宋体" w:cs="Times New Roman"/>
          <w:b/>
          <w:sz w:val="44"/>
          <w:szCs w:val="44"/>
        </w:rPr>
      </w:pPr>
      <w:r>
        <w:rPr>
          <w:rFonts w:hint="eastAsia" w:ascii="宋体" w:hAnsi="宋体" w:eastAsia="宋体" w:cs="Times New Roman"/>
          <w:b/>
          <w:sz w:val="44"/>
          <w:szCs w:val="44"/>
        </w:rPr>
        <w:t>白城市中级人民法院2022年度</w:t>
      </w:r>
    </w:p>
    <w:p>
      <w:pPr>
        <w:spacing w:line="570" w:lineRule="exact"/>
        <w:jc w:val="center"/>
        <w:rPr>
          <w:rFonts w:ascii="宋体" w:hAnsi="宋体" w:eastAsia="宋体" w:cs="Times New Roman"/>
          <w:b/>
          <w:sz w:val="44"/>
          <w:szCs w:val="44"/>
        </w:rPr>
      </w:pPr>
      <w:r>
        <w:rPr>
          <w:rFonts w:hint="eastAsia" w:ascii="宋体" w:hAnsi="宋体" w:eastAsia="宋体" w:cs="Times New Roman"/>
          <w:b/>
          <w:sz w:val="44"/>
          <w:szCs w:val="44"/>
        </w:rPr>
        <w:t>对本院员额法官审判绩效考核指标</w:t>
      </w:r>
    </w:p>
    <w:p>
      <w:pPr>
        <w:spacing w:line="570" w:lineRule="exact"/>
        <w:ind w:firstLine="640" w:firstLineChars="200"/>
        <w:rPr>
          <w:rFonts w:ascii="Times New Roman" w:hAnsi="Times New Roman" w:eastAsia="仿宋_GB2312" w:cs="Times New Roman"/>
          <w:kern w:val="21"/>
          <w:sz w:val="32"/>
          <w:szCs w:val="32"/>
        </w:rPr>
      </w:pPr>
    </w:p>
    <w:p>
      <w:pPr>
        <w:spacing w:line="570" w:lineRule="exact"/>
        <w:ind w:firstLine="640" w:firstLineChars="200"/>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中院</w:t>
      </w:r>
      <w:r>
        <w:rPr>
          <w:rFonts w:ascii="Times New Roman" w:hAnsi="Times New Roman" w:eastAsia="仿宋_GB2312" w:cs="Times New Roman"/>
          <w:kern w:val="21"/>
          <w:sz w:val="32"/>
          <w:szCs w:val="32"/>
        </w:rPr>
        <w:t>对</w:t>
      </w:r>
      <w:r>
        <w:rPr>
          <w:rFonts w:hint="eastAsia" w:ascii="Times New Roman" w:hAnsi="Times New Roman" w:eastAsia="仿宋_GB2312" w:cs="Times New Roman"/>
          <w:kern w:val="21"/>
          <w:sz w:val="32"/>
          <w:szCs w:val="32"/>
        </w:rPr>
        <w:t>本院员额法官</w:t>
      </w:r>
      <w:r>
        <w:rPr>
          <w:rFonts w:ascii="Times New Roman" w:hAnsi="Times New Roman" w:eastAsia="仿宋_GB2312" w:cs="Times New Roman"/>
          <w:kern w:val="21"/>
          <w:sz w:val="32"/>
          <w:szCs w:val="32"/>
        </w:rPr>
        <w:t>进行审判绩效考核，采集审判执行工作相关数据信息，重点围绕审判质效核心指标及年度目标值，年度内设定基础考核指标</w:t>
      </w:r>
      <w:r>
        <w:rPr>
          <w:rFonts w:hint="eastAsia" w:ascii="Times New Roman" w:hAnsi="Times New Roman" w:eastAsia="仿宋_GB2312" w:cs="Times New Roman"/>
          <w:kern w:val="21"/>
          <w:sz w:val="32"/>
          <w:szCs w:val="32"/>
        </w:rPr>
        <w:t>11</w:t>
      </w:r>
      <w:r>
        <w:rPr>
          <w:rFonts w:ascii="Times New Roman" w:hAnsi="Times New Roman" w:eastAsia="仿宋_GB2312" w:cs="Times New Roman"/>
          <w:kern w:val="21"/>
          <w:sz w:val="32"/>
          <w:szCs w:val="32"/>
        </w:rPr>
        <w:t>项，分值</w:t>
      </w:r>
      <w:r>
        <w:rPr>
          <w:rFonts w:hint="eastAsia" w:ascii="Times New Roman" w:hAnsi="Times New Roman" w:eastAsia="仿宋_GB2312" w:cs="Times New Roman"/>
          <w:kern w:val="21"/>
          <w:sz w:val="32"/>
          <w:szCs w:val="32"/>
        </w:rPr>
        <w:t>41</w:t>
      </w:r>
      <w:r>
        <w:rPr>
          <w:rFonts w:ascii="Times New Roman" w:hAnsi="Times New Roman" w:eastAsia="仿宋_GB2312" w:cs="Times New Roman"/>
          <w:kern w:val="21"/>
          <w:sz w:val="32"/>
          <w:szCs w:val="32"/>
        </w:rPr>
        <w:t>分，管理考核指标</w:t>
      </w:r>
      <w:r>
        <w:rPr>
          <w:rFonts w:hint="eastAsia" w:ascii="Times New Roman" w:hAnsi="Times New Roman" w:eastAsia="仿宋_GB2312" w:cs="Times New Roman"/>
          <w:kern w:val="21"/>
          <w:sz w:val="32"/>
          <w:szCs w:val="32"/>
        </w:rPr>
        <w:t>3</w:t>
      </w:r>
      <w:r>
        <w:rPr>
          <w:rFonts w:ascii="Times New Roman" w:hAnsi="Times New Roman" w:eastAsia="仿宋_GB2312" w:cs="Times New Roman"/>
          <w:kern w:val="21"/>
          <w:sz w:val="32"/>
          <w:szCs w:val="32"/>
        </w:rPr>
        <w:t>项，分值</w:t>
      </w:r>
      <w:r>
        <w:rPr>
          <w:rFonts w:hint="eastAsia" w:ascii="Times New Roman" w:hAnsi="Times New Roman" w:eastAsia="仿宋_GB2312" w:cs="Times New Roman"/>
          <w:kern w:val="21"/>
          <w:sz w:val="32"/>
          <w:szCs w:val="32"/>
        </w:rPr>
        <w:t>9</w:t>
      </w:r>
      <w:r>
        <w:rPr>
          <w:rFonts w:ascii="Times New Roman" w:hAnsi="Times New Roman" w:eastAsia="仿宋_GB2312" w:cs="Times New Roman"/>
          <w:kern w:val="21"/>
          <w:sz w:val="32"/>
          <w:szCs w:val="32"/>
        </w:rPr>
        <w:t>分，加分考核指标</w:t>
      </w:r>
      <w:r>
        <w:rPr>
          <w:rFonts w:hint="eastAsia" w:ascii="Times New Roman" w:hAnsi="Times New Roman" w:eastAsia="仿宋_GB2312" w:cs="Times New Roman"/>
          <w:kern w:val="21"/>
          <w:sz w:val="32"/>
          <w:szCs w:val="32"/>
        </w:rPr>
        <w:t>4</w:t>
      </w:r>
      <w:r>
        <w:rPr>
          <w:rFonts w:ascii="Times New Roman" w:hAnsi="Times New Roman" w:eastAsia="仿宋_GB2312" w:cs="Times New Roman"/>
          <w:kern w:val="21"/>
          <w:sz w:val="32"/>
          <w:szCs w:val="32"/>
        </w:rPr>
        <w:t>项，分值</w:t>
      </w:r>
      <w:r>
        <w:rPr>
          <w:rFonts w:hint="eastAsia" w:ascii="Times New Roman" w:hAnsi="Times New Roman" w:eastAsia="仿宋_GB2312" w:cs="Times New Roman"/>
          <w:kern w:val="21"/>
          <w:sz w:val="32"/>
          <w:szCs w:val="32"/>
        </w:rPr>
        <w:t>9</w:t>
      </w:r>
      <w:r>
        <w:rPr>
          <w:rFonts w:ascii="Times New Roman" w:hAnsi="Times New Roman" w:eastAsia="仿宋_GB2312" w:cs="Times New Roman"/>
          <w:kern w:val="21"/>
          <w:sz w:val="32"/>
          <w:szCs w:val="32"/>
        </w:rPr>
        <w:t>分，总计考核指标</w:t>
      </w:r>
      <w:r>
        <w:rPr>
          <w:rFonts w:hint="eastAsia" w:ascii="Times New Roman" w:hAnsi="Times New Roman" w:eastAsia="仿宋_GB2312" w:cs="Times New Roman"/>
          <w:kern w:val="21"/>
          <w:sz w:val="32"/>
          <w:szCs w:val="32"/>
        </w:rPr>
        <w:t>18</w:t>
      </w:r>
      <w:r>
        <w:rPr>
          <w:rFonts w:ascii="Times New Roman" w:hAnsi="Times New Roman" w:eastAsia="仿宋_GB2312" w:cs="Times New Roman"/>
          <w:kern w:val="21"/>
          <w:sz w:val="32"/>
          <w:szCs w:val="32"/>
        </w:rPr>
        <w:t>项，分值</w:t>
      </w:r>
      <w:r>
        <w:rPr>
          <w:rFonts w:hint="eastAsia" w:ascii="Times New Roman" w:hAnsi="Times New Roman" w:eastAsia="仿宋_GB2312" w:cs="Times New Roman"/>
          <w:kern w:val="21"/>
          <w:sz w:val="32"/>
          <w:szCs w:val="32"/>
        </w:rPr>
        <w:t>50</w:t>
      </w:r>
      <w:r>
        <w:rPr>
          <w:rFonts w:ascii="Times New Roman" w:hAnsi="Times New Roman" w:eastAsia="仿宋_GB2312" w:cs="Times New Roman"/>
          <w:kern w:val="21"/>
          <w:sz w:val="32"/>
          <w:szCs w:val="32"/>
        </w:rPr>
        <w:t>分。</w:t>
      </w:r>
    </w:p>
    <w:p>
      <w:pPr>
        <w:spacing w:line="57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一、基础考核指标</w:t>
      </w:r>
      <w:r>
        <w:rPr>
          <w:rFonts w:hint="eastAsia" w:ascii="Times New Roman" w:hAnsi="Times New Roman" w:eastAsia="黑体" w:cs="Times New Roman"/>
          <w:sz w:val="32"/>
          <w:szCs w:val="32"/>
        </w:rPr>
        <w:t>(41分）</w:t>
      </w:r>
    </w:p>
    <w:p>
      <w:pPr>
        <w:spacing w:line="570" w:lineRule="exact"/>
        <w:ind w:firstLine="643" w:firstLineChars="200"/>
        <w:rPr>
          <w:rFonts w:ascii="Times New Roman" w:hAnsi="Times New Roman" w:eastAsia="仿宋_GB2312" w:cs="Times New Roman"/>
          <w:b/>
          <w:sz w:val="32"/>
          <w:szCs w:val="32"/>
        </w:rPr>
      </w:pPr>
      <w:r>
        <w:rPr>
          <w:rFonts w:hint="eastAsia" w:ascii="楷体" w:hAnsi="楷体" w:eastAsia="楷体" w:cs="楷体"/>
          <w:b/>
          <w:sz w:val="32"/>
          <w:szCs w:val="32"/>
        </w:rPr>
        <w:t>（一）审判效率（18分）</w:t>
      </w:r>
    </w:p>
    <w:p>
      <w:pPr>
        <w:spacing w:line="57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1.结案率指标（</w:t>
      </w:r>
      <w:r>
        <w:rPr>
          <w:rFonts w:hint="eastAsia" w:ascii="Times New Roman" w:hAnsi="Times New Roman" w:eastAsia="仿宋_GB2312" w:cs="Times New Roman"/>
          <w:b/>
          <w:sz w:val="32"/>
          <w:szCs w:val="32"/>
        </w:rPr>
        <w:t>8</w:t>
      </w:r>
      <w:r>
        <w:rPr>
          <w:rFonts w:ascii="Times New Roman" w:hAnsi="Times New Roman" w:eastAsia="仿宋_GB2312" w:cs="Times New Roman"/>
          <w:b/>
          <w:sz w:val="32"/>
          <w:szCs w:val="32"/>
        </w:rPr>
        <w:t>分）</w:t>
      </w:r>
    </w:p>
    <w:p>
      <w:pPr>
        <w:spacing w:line="570" w:lineRule="exact"/>
        <w:ind w:firstLine="640" w:firstLineChars="200"/>
        <w:rPr>
          <w:rFonts w:ascii="Times New Roman" w:hAnsi="Times New Roman" w:eastAsia="仿宋_GB2312" w:cs="Times New Roman"/>
          <w:kern w:val="21"/>
          <w:sz w:val="32"/>
          <w:szCs w:val="32"/>
        </w:rPr>
      </w:pPr>
      <w:r>
        <w:rPr>
          <w:rFonts w:ascii="Times New Roman" w:hAnsi="Times New Roman" w:eastAsia="仿宋_GB2312" w:cs="Times New Roman"/>
          <w:kern w:val="21"/>
          <w:sz w:val="32"/>
          <w:szCs w:val="32"/>
        </w:rPr>
        <w:t>结案率=全口径结案数/全口径受理案件数×100%，按季度进行考核。</w:t>
      </w:r>
      <w:r>
        <w:rPr>
          <w:rFonts w:hint="eastAsia" w:ascii="Times New Roman" w:hAnsi="Times New Roman" w:eastAsia="仿宋_GB2312" w:cs="Times New Roman"/>
          <w:kern w:val="21"/>
          <w:sz w:val="32"/>
          <w:szCs w:val="32"/>
        </w:rPr>
        <w:t>此项指标考核的季度结案率数据为各业务庭整体数据（员额法官依据所在业务庭季度结案率得分）。</w:t>
      </w:r>
    </w:p>
    <w:p>
      <w:pPr>
        <w:spacing w:line="570" w:lineRule="exact"/>
        <w:ind w:firstLine="640" w:firstLineChars="200"/>
        <w:rPr>
          <w:rFonts w:ascii="Times New Roman" w:hAnsi="Times New Roman" w:eastAsia="仿宋_GB2312" w:cs="Times New Roman"/>
          <w:kern w:val="21"/>
          <w:sz w:val="32"/>
          <w:szCs w:val="32"/>
        </w:rPr>
      </w:pPr>
      <w:r>
        <w:rPr>
          <w:rFonts w:ascii="Times New Roman" w:hAnsi="Times New Roman" w:eastAsia="仿宋_GB2312" w:cs="Times New Roman"/>
          <w:kern w:val="21"/>
          <w:sz w:val="32"/>
          <w:szCs w:val="32"/>
        </w:rPr>
        <w:t>一季度结案率设定为</w:t>
      </w:r>
      <w:r>
        <w:rPr>
          <w:rFonts w:hint="eastAsia" w:ascii="Times New Roman" w:hAnsi="Times New Roman" w:eastAsia="仿宋_GB2312" w:cs="Times New Roman"/>
          <w:kern w:val="21"/>
          <w:sz w:val="32"/>
          <w:szCs w:val="32"/>
        </w:rPr>
        <w:t>6</w:t>
      </w:r>
      <w:r>
        <w:rPr>
          <w:rFonts w:ascii="Times New Roman" w:hAnsi="Times New Roman" w:eastAsia="仿宋_GB2312" w:cs="Times New Roman"/>
          <w:kern w:val="21"/>
          <w:sz w:val="32"/>
          <w:szCs w:val="32"/>
        </w:rPr>
        <w:t>5%，二季度结案率设定为8</w:t>
      </w:r>
      <w:r>
        <w:rPr>
          <w:rFonts w:hint="eastAsia" w:ascii="Times New Roman" w:hAnsi="Times New Roman" w:eastAsia="仿宋_GB2312" w:cs="Times New Roman"/>
          <w:kern w:val="21"/>
          <w:sz w:val="32"/>
          <w:szCs w:val="32"/>
        </w:rPr>
        <w:t>3</w:t>
      </w:r>
      <w:r>
        <w:rPr>
          <w:rFonts w:ascii="Times New Roman" w:hAnsi="Times New Roman" w:eastAsia="仿宋_GB2312" w:cs="Times New Roman"/>
          <w:kern w:val="21"/>
          <w:sz w:val="32"/>
          <w:szCs w:val="32"/>
        </w:rPr>
        <w:t>%，三季度结案率设定为8</w:t>
      </w:r>
      <w:r>
        <w:rPr>
          <w:rFonts w:hint="eastAsia" w:ascii="Times New Roman" w:hAnsi="Times New Roman" w:eastAsia="仿宋_GB2312" w:cs="Times New Roman"/>
          <w:kern w:val="21"/>
          <w:sz w:val="32"/>
          <w:szCs w:val="32"/>
        </w:rPr>
        <w:t>9</w:t>
      </w:r>
      <w:r>
        <w:rPr>
          <w:rFonts w:ascii="Times New Roman" w:hAnsi="Times New Roman" w:eastAsia="仿宋_GB2312" w:cs="Times New Roman"/>
          <w:kern w:val="21"/>
          <w:sz w:val="32"/>
          <w:szCs w:val="32"/>
        </w:rPr>
        <w:t>%，四季度结案率设定为9</w:t>
      </w:r>
      <w:r>
        <w:rPr>
          <w:rFonts w:hint="eastAsia" w:ascii="Times New Roman" w:hAnsi="Times New Roman" w:eastAsia="仿宋_GB2312" w:cs="Times New Roman"/>
          <w:kern w:val="21"/>
          <w:sz w:val="32"/>
          <w:szCs w:val="32"/>
        </w:rPr>
        <w:t>6</w:t>
      </w:r>
      <w:r>
        <w:rPr>
          <w:rFonts w:ascii="Times New Roman" w:hAnsi="Times New Roman" w:eastAsia="仿宋_GB2312" w:cs="Times New Roman"/>
          <w:kern w:val="21"/>
          <w:sz w:val="32"/>
          <w:szCs w:val="32"/>
        </w:rPr>
        <w:t>%。每季度结案率</w:t>
      </w:r>
      <w:r>
        <w:rPr>
          <w:rFonts w:hint="eastAsia" w:ascii="Times New Roman" w:hAnsi="Times New Roman" w:eastAsia="仿宋_GB2312" w:cs="Times New Roman"/>
          <w:kern w:val="21"/>
          <w:sz w:val="32"/>
          <w:szCs w:val="32"/>
        </w:rPr>
        <w:t>考核的</w:t>
      </w:r>
      <w:r>
        <w:rPr>
          <w:rFonts w:ascii="Times New Roman" w:hAnsi="Times New Roman" w:eastAsia="仿宋_GB2312" w:cs="Times New Roman"/>
          <w:kern w:val="21"/>
          <w:sz w:val="32"/>
          <w:szCs w:val="32"/>
        </w:rPr>
        <w:t>基础分值设定为</w:t>
      </w:r>
      <w:r>
        <w:rPr>
          <w:rFonts w:hint="eastAsia" w:ascii="Times New Roman" w:hAnsi="Times New Roman" w:eastAsia="仿宋_GB2312" w:cs="Times New Roman"/>
          <w:kern w:val="21"/>
          <w:sz w:val="32"/>
          <w:szCs w:val="32"/>
        </w:rPr>
        <w:t>2</w:t>
      </w:r>
      <w:r>
        <w:rPr>
          <w:rFonts w:ascii="Times New Roman" w:hAnsi="Times New Roman" w:eastAsia="仿宋_GB2312" w:cs="Times New Roman"/>
          <w:kern w:val="21"/>
          <w:sz w:val="32"/>
          <w:szCs w:val="32"/>
        </w:rPr>
        <w:t>分，考核区间为202</w:t>
      </w:r>
      <w:r>
        <w:rPr>
          <w:rFonts w:hint="eastAsia" w:ascii="Times New Roman" w:hAnsi="Times New Roman" w:eastAsia="仿宋_GB2312" w:cs="Times New Roman"/>
          <w:kern w:val="21"/>
          <w:sz w:val="32"/>
          <w:szCs w:val="32"/>
        </w:rPr>
        <w:t>2</w:t>
      </w:r>
      <w:r>
        <w:rPr>
          <w:rFonts w:ascii="Times New Roman" w:hAnsi="Times New Roman" w:eastAsia="仿宋_GB2312" w:cs="Times New Roman"/>
          <w:kern w:val="21"/>
          <w:sz w:val="32"/>
          <w:szCs w:val="32"/>
        </w:rPr>
        <w:t>年1月1日至各季度末，考核时达不到设定结案率的予以减分，每低于设定结案率0.</w:t>
      </w:r>
      <w:r>
        <w:rPr>
          <w:rFonts w:hint="eastAsia" w:ascii="Times New Roman" w:hAnsi="Times New Roman" w:eastAsia="仿宋_GB2312" w:cs="Times New Roman"/>
          <w:kern w:val="21"/>
          <w:sz w:val="32"/>
          <w:szCs w:val="32"/>
        </w:rPr>
        <w:t>1</w:t>
      </w:r>
      <w:r>
        <w:rPr>
          <w:rFonts w:ascii="Times New Roman" w:hAnsi="Times New Roman" w:eastAsia="仿宋_GB2312" w:cs="Times New Roman"/>
          <w:kern w:val="21"/>
          <w:sz w:val="32"/>
          <w:szCs w:val="32"/>
        </w:rPr>
        <w:t>个百分点减0.0</w:t>
      </w:r>
      <w:r>
        <w:rPr>
          <w:rFonts w:hint="eastAsia" w:ascii="Times New Roman" w:hAnsi="Times New Roman" w:eastAsia="仿宋_GB2312" w:cs="Times New Roman"/>
          <w:kern w:val="21"/>
          <w:sz w:val="32"/>
          <w:szCs w:val="32"/>
        </w:rPr>
        <w:t>2</w:t>
      </w:r>
      <w:r>
        <w:rPr>
          <w:rFonts w:ascii="Times New Roman" w:hAnsi="Times New Roman" w:eastAsia="仿宋_GB2312" w:cs="Times New Roman"/>
          <w:kern w:val="21"/>
          <w:sz w:val="32"/>
          <w:szCs w:val="32"/>
        </w:rPr>
        <w:t>分，季度减分以</w:t>
      </w:r>
      <w:r>
        <w:rPr>
          <w:rFonts w:hint="eastAsia" w:ascii="Times New Roman" w:hAnsi="Times New Roman" w:eastAsia="仿宋_GB2312" w:cs="Times New Roman"/>
          <w:kern w:val="21"/>
          <w:sz w:val="32"/>
          <w:szCs w:val="32"/>
        </w:rPr>
        <w:t>2</w:t>
      </w:r>
      <w:r>
        <w:rPr>
          <w:rFonts w:ascii="Times New Roman" w:hAnsi="Times New Roman" w:eastAsia="仿宋_GB2312" w:cs="Times New Roman"/>
          <w:kern w:val="21"/>
          <w:sz w:val="32"/>
          <w:szCs w:val="32"/>
        </w:rPr>
        <w:t>分为限。</w:t>
      </w:r>
    </w:p>
    <w:p>
      <w:pPr>
        <w:spacing w:line="57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2.诉讼案件</w:t>
      </w:r>
      <w:r>
        <w:rPr>
          <w:rFonts w:hint="eastAsia" w:ascii="Times New Roman" w:hAnsi="Times New Roman" w:eastAsia="仿宋_GB2312" w:cs="Times New Roman"/>
          <w:b/>
          <w:sz w:val="32"/>
          <w:szCs w:val="32"/>
        </w:rPr>
        <w:t>结案数指标</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5</w:t>
      </w:r>
      <w:r>
        <w:rPr>
          <w:rFonts w:ascii="Times New Roman" w:hAnsi="Times New Roman" w:eastAsia="仿宋_GB2312" w:cs="Times New Roman"/>
          <w:b/>
          <w:sz w:val="32"/>
          <w:szCs w:val="32"/>
        </w:rPr>
        <w:t>分）</w:t>
      </w:r>
    </w:p>
    <w:p>
      <w:pPr>
        <w:spacing w:line="570" w:lineRule="exact"/>
        <w:ind w:firstLine="640" w:firstLineChars="200"/>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年度结案数考核基础分值设定为5分，考核时低于各业务庭结案数(折抵后)平均值的给予减分，每低于平均值1件给承办法官减0.5分，减分以5分为限。</w:t>
      </w:r>
    </w:p>
    <w:p>
      <w:pPr>
        <w:spacing w:line="57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3</w:t>
      </w:r>
      <w:r>
        <w:rPr>
          <w:rFonts w:ascii="Times New Roman" w:hAnsi="Times New Roman" w:eastAsia="仿宋_GB2312" w:cs="Times New Roman"/>
          <w:b/>
          <w:sz w:val="32"/>
          <w:szCs w:val="32"/>
        </w:rPr>
        <w:t>.诉讼案件法定审限内结案率（</w:t>
      </w:r>
      <w:r>
        <w:rPr>
          <w:rFonts w:hint="eastAsia" w:ascii="Times New Roman" w:hAnsi="Times New Roman" w:eastAsia="仿宋_GB2312" w:cs="Times New Roman"/>
          <w:b/>
          <w:sz w:val="32"/>
          <w:szCs w:val="32"/>
        </w:rPr>
        <w:t>2</w:t>
      </w:r>
      <w:r>
        <w:rPr>
          <w:rFonts w:ascii="Times New Roman" w:hAnsi="Times New Roman" w:eastAsia="仿宋_GB2312" w:cs="Times New Roman"/>
          <w:b/>
          <w:sz w:val="32"/>
          <w:szCs w:val="32"/>
        </w:rPr>
        <w:t>分）</w:t>
      </w:r>
    </w:p>
    <w:p>
      <w:pPr>
        <w:spacing w:line="570" w:lineRule="exact"/>
        <w:ind w:firstLine="640" w:firstLineChars="200"/>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诉讼案件法定审限内结案率=1-（延长审限内结案数+超审限结案数）/结案总数，按年度进行考核。此项指标考核的年度诉讼案件法定审限内结案率数据为各业务庭整体数据（员额法官依据所在业务庭年度诉讼案件法定审限内结案率得分）。</w:t>
      </w:r>
    </w:p>
    <w:p>
      <w:pPr>
        <w:spacing w:line="570" w:lineRule="exact"/>
        <w:ind w:firstLine="640" w:firstLineChars="200"/>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年度诉讼案件法定审限内结案率考核的基础分值设定为2分，基础比率设定为99.60%，考核时达到基础比率的得2分，达不到基础比率的予以减分，每低于基础比率0.1个百分点减0.2分，全年减分以2分为限。</w:t>
      </w:r>
    </w:p>
    <w:p>
      <w:pPr>
        <w:spacing w:line="57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4</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长期未结诉讼案件指标（3分）</w:t>
      </w:r>
    </w:p>
    <w:p>
      <w:pPr>
        <w:spacing w:line="570" w:lineRule="exact"/>
        <w:ind w:firstLine="640" w:firstLineChars="200"/>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长期未结诉讼案件，按年度进行考核。</w:t>
      </w:r>
    </w:p>
    <w:p>
      <w:pPr>
        <w:spacing w:line="570" w:lineRule="exact"/>
        <w:ind w:firstLine="640" w:firstLineChars="200"/>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年度长期未结诉讼案件考核的基础分值设定为3分，至考核节点时，超</w:t>
      </w:r>
      <w:r>
        <w:rPr>
          <w:rFonts w:ascii="Times New Roman" w:hAnsi="Times New Roman" w:eastAsia="仿宋_GB2312" w:cs="Times New Roman"/>
          <w:kern w:val="21"/>
          <w:sz w:val="32"/>
          <w:szCs w:val="32"/>
        </w:rPr>
        <w:t>12</w:t>
      </w:r>
      <w:r>
        <w:rPr>
          <w:rFonts w:hint="eastAsia" w:ascii="Times New Roman" w:hAnsi="Times New Roman" w:eastAsia="仿宋_GB2312" w:cs="Times New Roman"/>
          <w:kern w:val="21"/>
          <w:sz w:val="32"/>
          <w:szCs w:val="32"/>
        </w:rPr>
        <w:t>个月以上的未结诉讼案件</w:t>
      </w:r>
      <w:r>
        <w:rPr>
          <w:rFonts w:ascii="Times New Roman" w:hAnsi="Times New Roman" w:eastAsia="仿宋_GB2312" w:cs="Times New Roman"/>
          <w:kern w:val="21"/>
          <w:sz w:val="32"/>
          <w:szCs w:val="32"/>
        </w:rPr>
        <w:t>1</w:t>
      </w:r>
      <w:r>
        <w:rPr>
          <w:rFonts w:hint="eastAsia" w:ascii="Times New Roman" w:hAnsi="Times New Roman" w:eastAsia="仿宋_GB2312" w:cs="Times New Roman"/>
          <w:kern w:val="21"/>
          <w:sz w:val="32"/>
          <w:szCs w:val="32"/>
        </w:rPr>
        <w:t xml:space="preserve">件减1分，全年减分以3分为限。 </w:t>
      </w:r>
    </w:p>
    <w:p>
      <w:pPr>
        <w:spacing w:line="570" w:lineRule="exact"/>
        <w:ind w:firstLine="640" w:firstLineChars="200"/>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长期未结诉讼案件是指审理时间超过</w:t>
      </w:r>
      <w:r>
        <w:rPr>
          <w:rFonts w:ascii="Times New Roman" w:hAnsi="Times New Roman" w:eastAsia="仿宋_GB2312" w:cs="Times New Roman"/>
          <w:kern w:val="21"/>
          <w:sz w:val="32"/>
          <w:szCs w:val="32"/>
        </w:rPr>
        <w:t>12</w:t>
      </w:r>
      <w:r>
        <w:rPr>
          <w:rFonts w:hint="eastAsia" w:ascii="Times New Roman" w:hAnsi="Times New Roman" w:eastAsia="仿宋_GB2312" w:cs="Times New Roman"/>
          <w:kern w:val="21"/>
          <w:sz w:val="32"/>
          <w:szCs w:val="32"/>
        </w:rPr>
        <w:t>个月以上（自立案之日起计算，不考虑扣除审限情况，不含被告人不具备受审能力、脱逃等情况案件）的未结诉讼案件，如存在因刑事案件被告人潜逃、被告人失去受审能力而致案件中止审理、无法审结等特殊情形的，应于考核节点前</w:t>
      </w:r>
      <w:r>
        <w:rPr>
          <w:rFonts w:ascii="Times New Roman" w:hAnsi="Times New Roman" w:eastAsia="仿宋_GB2312" w:cs="Times New Roman"/>
          <w:kern w:val="21"/>
          <w:sz w:val="32"/>
          <w:szCs w:val="32"/>
        </w:rPr>
        <w:t>7</w:t>
      </w:r>
      <w:r>
        <w:rPr>
          <w:rFonts w:hint="eastAsia" w:ascii="Times New Roman" w:hAnsi="Times New Roman" w:eastAsia="仿宋_GB2312" w:cs="Times New Roman"/>
          <w:kern w:val="21"/>
          <w:sz w:val="32"/>
          <w:szCs w:val="32"/>
        </w:rPr>
        <w:t>日内向审管办提出说明，经审核属实的，可以核减长期未结诉讼案件数。</w:t>
      </w:r>
    </w:p>
    <w:p>
      <w:pPr>
        <w:spacing w:line="570" w:lineRule="exact"/>
        <w:ind w:firstLine="643" w:firstLineChars="200"/>
        <w:rPr>
          <w:rFonts w:ascii="Times New Roman" w:hAnsi="Times New Roman" w:eastAsia="仿宋_GB2312" w:cs="Times New Roman"/>
          <w:sz w:val="32"/>
          <w:szCs w:val="32"/>
        </w:rPr>
      </w:pPr>
      <w:r>
        <w:rPr>
          <w:rFonts w:hint="eastAsia" w:ascii="楷体" w:hAnsi="楷体" w:eastAsia="楷体" w:cs="楷体"/>
          <w:b/>
          <w:sz w:val="32"/>
          <w:szCs w:val="32"/>
        </w:rPr>
        <w:t>（二）审判质量效果（14分）</w:t>
      </w:r>
    </w:p>
    <w:p>
      <w:pPr>
        <w:spacing w:line="570" w:lineRule="exact"/>
        <w:ind w:firstLine="643" w:firstLineChars="200"/>
        <w:rPr>
          <w:rFonts w:ascii="Times New Roman" w:hAnsi="Times New Roman" w:eastAsia="仿宋_GB2312" w:cs="Times New Roman"/>
          <w:kern w:val="21"/>
          <w:sz w:val="32"/>
          <w:szCs w:val="32"/>
        </w:rPr>
      </w:pPr>
      <w:r>
        <w:rPr>
          <w:rFonts w:hint="eastAsia" w:ascii="Times New Roman" w:hAnsi="Times New Roman" w:eastAsia="仿宋_GB2312" w:cs="Times New Roman"/>
          <w:b/>
          <w:sz w:val="32"/>
          <w:szCs w:val="32"/>
        </w:rPr>
        <w:t>5</w:t>
      </w:r>
      <w:r>
        <w:rPr>
          <w:rFonts w:ascii="Times New Roman" w:hAnsi="Times New Roman" w:eastAsia="仿宋_GB2312" w:cs="Times New Roman"/>
          <w:b/>
          <w:sz w:val="32"/>
          <w:szCs w:val="32"/>
        </w:rPr>
        <w:t>.一审案件上诉被改判发回重审指标（</w:t>
      </w:r>
      <w:r>
        <w:rPr>
          <w:rFonts w:hint="eastAsia" w:ascii="Times New Roman" w:hAnsi="Times New Roman" w:eastAsia="仿宋_GB2312" w:cs="Times New Roman"/>
          <w:b/>
          <w:sz w:val="32"/>
          <w:szCs w:val="32"/>
        </w:rPr>
        <w:t>3</w:t>
      </w:r>
      <w:r>
        <w:rPr>
          <w:rFonts w:ascii="Times New Roman" w:hAnsi="Times New Roman" w:eastAsia="仿宋_GB2312" w:cs="Times New Roman"/>
          <w:b/>
          <w:sz w:val="32"/>
          <w:szCs w:val="32"/>
        </w:rPr>
        <w:t>分）</w:t>
      </w:r>
    </w:p>
    <w:p>
      <w:pPr>
        <w:spacing w:line="570" w:lineRule="exact"/>
        <w:ind w:firstLine="640" w:firstLineChars="200"/>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一审案件上诉被改判发回重审后，经评查认定为不合格案件的，每件扣持错误意见的审判长、承办法官各0.5分。</w:t>
      </w:r>
    </w:p>
    <w:p>
      <w:pPr>
        <w:spacing w:line="570" w:lineRule="exact"/>
        <w:ind w:firstLine="640" w:firstLineChars="200"/>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年度对一审案件上诉改判发回重审案件考核的基础分值设定为3分,减分以3分为限。</w:t>
      </w:r>
    </w:p>
    <w:p>
      <w:pPr>
        <w:spacing w:line="570" w:lineRule="exact"/>
        <w:ind w:firstLine="643" w:firstLineChars="200"/>
        <w:rPr>
          <w:rFonts w:ascii="Times New Roman" w:hAnsi="Times New Roman" w:eastAsia="仿宋_GB2312" w:cs="Times New Roman"/>
          <w:b/>
          <w:kern w:val="21"/>
          <w:sz w:val="32"/>
          <w:szCs w:val="32"/>
        </w:rPr>
      </w:pPr>
      <w:r>
        <w:rPr>
          <w:rFonts w:hint="eastAsia" w:ascii="Times New Roman" w:hAnsi="Times New Roman" w:eastAsia="仿宋_GB2312" w:cs="Times New Roman"/>
          <w:b/>
          <w:kern w:val="21"/>
          <w:sz w:val="32"/>
          <w:szCs w:val="32"/>
        </w:rPr>
        <w:t>6</w:t>
      </w:r>
      <w:r>
        <w:rPr>
          <w:rFonts w:ascii="Times New Roman" w:hAnsi="Times New Roman" w:eastAsia="仿宋_GB2312" w:cs="Times New Roman"/>
          <w:b/>
          <w:kern w:val="21"/>
          <w:sz w:val="32"/>
          <w:szCs w:val="32"/>
        </w:rPr>
        <w:t>.生效案件再审</w:t>
      </w:r>
      <w:r>
        <w:rPr>
          <w:rFonts w:ascii="Times New Roman" w:hAnsi="Times New Roman" w:eastAsia="仿宋_GB2312" w:cs="Times New Roman"/>
          <w:b/>
          <w:bCs/>
          <w:kern w:val="21"/>
          <w:sz w:val="32"/>
          <w:szCs w:val="32"/>
        </w:rPr>
        <w:t>被</w:t>
      </w:r>
      <w:r>
        <w:rPr>
          <w:rFonts w:ascii="Times New Roman" w:hAnsi="Times New Roman" w:eastAsia="仿宋_GB2312" w:cs="Times New Roman"/>
          <w:b/>
          <w:kern w:val="21"/>
          <w:sz w:val="32"/>
          <w:szCs w:val="32"/>
        </w:rPr>
        <w:t>改判发回重审指标（</w:t>
      </w:r>
      <w:r>
        <w:rPr>
          <w:rFonts w:hint="eastAsia" w:ascii="Times New Roman" w:hAnsi="Times New Roman" w:eastAsia="仿宋_GB2312" w:cs="Times New Roman"/>
          <w:b/>
          <w:kern w:val="21"/>
          <w:sz w:val="32"/>
          <w:szCs w:val="32"/>
        </w:rPr>
        <w:t>3</w:t>
      </w:r>
      <w:r>
        <w:rPr>
          <w:rFonts w:ascii="Times New Roman" w:hAnsi="Times New Roman" w:eastAsia="仿宋_GB2312" w:cs="Times New Roman"/>
          <w:b/>
          <w:kern w:val="21"/>
          <w:sz w:val="32"/>
          <w:szCs w:val="32"/>
        </w:rPr>
        <w:t>分）</w:t>
      </w:r>
    </w:p>
    <w:p>
      <w:pPr>
        <w:spacing w:line="570" w:lineRule="exact"/>
        <w:ind w:firstLine="640" w:firstLineChars="200"/>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生效案件再审被改判发回重审后，经评查认定为不合格的，每件扣持错误意见的审判长、承办法官各0.5分。</w:t>
      </w:r>
    </w:p>
    <w:p>
      <w:pPr>
        <w:spacing w:line="570" w:lineRule="exact"/>
        <w:ind w:firstLine="640" w:firstLineChars="200"/>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年度对生效案件被再审改判发回重审案件考核的基础分值设定为3分,减分以3分为限。</w:t>
      </w:r>
    </w:p>
    <w:p>
      <w:pPr>
        <w:spacing w:line="57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7.</w:t>
      </w:r>
      <w:r>
        <w:rPr>
          <w:rFonts w:ascii="Times New Roman" w:hAnsi="Times New Roman" w:eastAsia="仿宋_GB2312" w:cs="Times New Roman"/>
          <w:b/>
          <w:sz w:val="32"/>
          <w:szCs w:val="32"/>
        </w:rPr>
        <w:t>一审案件服判息诉指标（</w:t>
      </w:r>
      <w:r>
        <w:rPr>
          <w:rFonts w:hint="eastAsia" w:ascii="Times New Roman" w:hAnsi="Times New Roman" w:eastAsia="仿宋_GB2312" w:cs="Times New Roman"/>
          <w:b/>
          <w:sz w:val="32"/>
          <w:szCs w:val="32"/>
        </w:rPr>
        <w:t>4</w:t>
      </w:r>
      <w:r>
        <w:rPr>
          <w:rFonts w:ascii="Times New Roman" w:hAnsi="Times New Roman" w:eastAsia="仿宋_GB2312" w:cs="Times New Roman"/>
          <w:b/>
          <w:sz w:val="32"/>
          <w:szCs w:val="32"/>
        </w:rPr>
        <w:t>分）</w:t>
      </w:r>
    </w:p>
    <w:p>
      <w:pPr>
        <w:spacing w:line="570" w:lineRule="exact"/>
        <w:ind w:firstLine="640" w:firstLineChars="200"/>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年度对一审案件服判息诉率考核基础分值设定为4分，考核时高于各类案件（民事、刑事、行政）上诉案件数均值的给予减分，每高于1件减0.5分，减分以4分为限。</w:t>
      </w:r>
    </w:p>
    <w:p>
      <w:pPr>
        <w:spacing w:line="57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8</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生效案件申请再审、申诉指标</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4</w:t>
      </w:r>
      <w:r>
        <w:rPr>
          <w:rFonts w:ascii="Times New Roman" w:hAnsi="Times New Roman" w:eastAsia="仿宋_GB2312" w:cs="Times New Roman"/>
          <w:b/>
          <w:sz w:val="32"/>
          <w:szCs w:val="32"/>
        </w:rPr>
        <w:t>分）</w:t>
      </w:r>
    </w:p>
    <w:p>
      <w:pPr>
        <w:spacing w:line="570" w:lineRule="exact"/>
        <w:ind w:firstLine="640" w:firstLineChars="200"/>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人均生效案件申请再审、申诉案件数指标数=(生效案件总数-减刑假释案件数)×0.022/员额法官人数（不包括执行法官）。</w:t>
      </w:r>
    </w:p>
    <w:p>
      <w:pPr>
        <w:spacing w:line="570" w:lineRule="exact"/>
        <w:ind w:firstLine="640" w:firstLineChars="200"/>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年度对生效案件申请再审、申诉率考核的基础分值设定为4分，考核时不高于基础指标的得4分，高于基础指标的予以减分，每高于基础指标1件减0.5分，减分以4分为限。</w:t>
      </w:r>
    </w:p>
    <w:p>
      <w:pPr>
        <w:numPr>
          <w:ilvl w:val="0"/>
          <w:numId w:val="5"/>
        </w:numPr>
        <w:spacing w:line="570" w:lineRule="exact"/>
        <w:ind w:firstLine="643" w:firstLineChars="200"/>
        <w:rPr>
          <w:rFonts w:ascii="楷体" w:hAnsi="楷体" w:eastAsia="楷体" w:cs="楷体"/>
          <w:b/>
          <w:sz w:val="32"/>
          <w:szCs w:val="32"/>
        </w:rPr>
      </w:pPr>
      <w:r>
        <w:rPr>
          <w:rFonts w:hint="eastAsia" w:ascii="楷体" w:hAnsi="楷体" w:eastAsia="楷体" w:cs="楷体"/>
          <w:b/>
          <w:sz w:val="32"/>
          <w:szCs w:val="32"/>
        </w:rPr>
        <w:t>司法公开（9分）</w:t>
      </w:r>
    </w:p>
    <w:p>
      <w:pPr>
        <w:spacing w:line="570" w:lineRule="exact"/>
        <w:ind w:firstLine="643" w:firstLineChars="200"/>
        <w:rPr>
          <w:rFonts w:ascii="Times New Roman" w:hAnsi="Times New Roman" w:eastAsia="仿宋_GB2312" w:cs="Times New Roman"/>
          <w:kern w:val="21"/>
          <w:sz w:val="32"/>
          <w:szCs w:val="32"/>
        </w:rPr>
      </w:pPr>
      <w:r>
        <w:rPr>
          <w:rFonts w:hint="eastAsia" w:ascii="Times New Roman" w:hAnsi="Times New Roman" w:eastAsia="仿宋_GB2312" w:cs="Times New Roman"/>
          <w:b/>
          <w:sz w:val="32"/>
          <w:szCs w:val="32"/>
        </w:rPr>
        <w:t>9</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裁判文书公开指标（3分）</w:t>
      </w:r>
    </w:p>
    <w:p>
      <w:pPr>
        <w:spacing w:line="570" w:lineRule="exact"/>
        <w:ind w:firstLine="640" w:firstLineChars="200"/>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裁判文书上网率=文书公开公示数/结案数×100%，按上半年、年度进行考核。</w:t>
      </w:r>
    </w:p>
    <w:p>
      <w:pPr>
        <w:spacing w:line="570" w:lineRule="exact"/>
        <w:ind w:firstLine="640" w:firstLineChars="200"/>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上半年对2022年上半年裁判文书上网率进行考核，裁判文书上网率应当达到50%，达到50%的得1.5分，达不到50%的予以减分，每低于基础比率1个百分点减0.1分，减分以1.5分为限。年底对2021年全年裁判文书上网率进行考核，裁判文书上网率应当达到60%，达到60%的得1.5分，达不到60%的予以减分，每低于基础比率1个百分点减0.1分，减分以1.5分为限。</w:t>
      </w:r>
    </w:p>
    <w:p>
      <w:pPr>
        <w:spacing w:line="570" w:lineRule="exact"/>
        <w:ind w:firstLine="643" w:firstLineChars="200"/>
        <w:rPr>
          <w:rFonts w:ascii="Times New Roman" w:hAnsi="Times New Roman" w:eastAsia="仿宋_GB2312" w:cs="Times New Roman"/>
          <w:kern w:val="21"/>
          <w:sz w:val="32"/>
          <w:szCs w:val="32"/>
        </w:rPr>
      </w:pPr>
      <w:r>
        <w:rPr>
          <w:rFonts w:hint="eastAsia" w:ascii="Times New Roman" w:hAnsi="Times New Roman" w:eastAsia="仿宋_GB2312" w:cs="Times New Roman"/>
          <w:b/>
          <w:sz w:val="32"/>
          <w:szCs w:val="32"/>
        </w:rPr>
        <w:t>10.庭审直播公开指标（3分）</w:t>
      </w:r>
    </w:p>
    <w:p>
      <w:pPr>
        <w:spacing w:line="570" w:lineRule="exact"/>
        <w:ind w:firstLine="640" w:firstLineChars="200"/>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庭审直播率=直播案件数/受理诉讼案件数×100%，按年度进行考核。</w:t>
      </w:r>
    </w:p>
    <w:p>
      <w:pPr>
        <w:spacing w:line="570" w:lineRule="exact"/>
        <w:ind w:firstLine="640" w:firstLineChars="200"/>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年度员额法官庭审直播率应达到33%，基础分值设定为3分，考核时达到33%的得3分，达不到33%的予以减分，每低于基础比率1个百分点减0.3分，减分以3分为限。考核时没有庭审直播的员额法官不得分。</w:t>
      </w:r>
    </w:p>
    <w:p>
      <w:pPr>
        <w:spacing w:line="57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11.审判流程信息公开指标（3分）</w:t>
      </w:r>
    </w:p>
    <w:p>
      <w:pPr>
        <w:spacing w:line="570" w:lineRule="exact"/>
        <w:ind w:firstLine="640" w:firstLineChars="200"/>
        <w:rPr>
          <w:rFonts w:ascii="Times New Roman" w:hAnsi="Times New Roman" w:eastAsia="仿宋_GB2312" w:cs="Times New Roman"/>
          <w:kern w:val="21"/>
          <w:sz w:val="32"/>
          <w:szCs w:val="32"/>
        </w:rPr>
      </w:pPr>
      <w:r>
        <w:rPr>
          <w:rFonts w:ascii="Times New Roman" w:hAnsi="Times New Roman" w:eastAsia="仿宋_GB2312" w:cs="Times New Roman"/>
          <w:kern w:val="21"/>
          <w:sz w:val="32"/>
          <w:szCs w:val="32"/>
        </w:rPr>
        <w:t>有效公开案件</w:t>
      </w:r>
      <w:r>
        <w:rPr>
          <w:rFonts w:hint="eastAsia" w:ascii="Times New Roman" w:hAnsi="Times New Roman" w:eastAsia="仿宋_GB2312" w:cs="Times New Roman"/>
          <w:kern w:val="21"/>
          <w:sz w:val="32"/>
          <w:szCs w:val="32"/>
        </w:rPr>
        <w:t>数</w:t>
      </w:r>
      <w:r>
        <w:rPr>
          <w:rFonts w:ascii="Times New Roman" w:hAnsi="Times New Roman" w:eastAsia="仿宋_GB2312" w:cs="Times New Roman"/>
          <w:kern w:val="21"/>
          <w:sz w:val="32"/>
          <w:szCs w:val="32"/>
        </w:rPr>
        <w:t>，按年度进行考核。</w:t>
      </w:r>
      <w:r>
        <w:rPr>
          <w:rFonts w:hint="eastAsia" w:ascii="Times New Roman" w:hAnsi="Times New Roman" w:eastAsia="仿宋_GB2312" w:cs="Times New Roman"/>
          <w:kern w:val="21"/>
          <w:sz w:val="32"/>
          <w:szCs w:val="32"/>
        </w:rPr>
        <w:t>按规定应在审判流程信息网公开的案件而未予有效公开的，每发现1件减0.3分，减分以1.5分为限。</w:t>
      </w:r>
    </w:p>
    <w:p>
      <w:pPr>
        <w:spacing w:line="570" w:lineRule="exact"/>
        <w:ind w:firstLine="640" w:firstLineChars="200"/>
        <w:rPr>
          <w:rFonts w:ascii="Times New Roman" w:hAnsi="Times New Roman" w:eastAsia="仿宋_GB2312" w:cs="Times New Roman"/>
          <w:kern w:val="21"/>
          <w:sz w:val="32"/>
          <w:szCs w:val="32"/>
        </w:rPr>
      </w:pPr>
      <w:r>
        <w:rPr>
          <w:rFonts w:ascii="Times New Roman" w:hAnsi="Times New Roman" w:eastAsia="仿宋_GB2312" w:cs="Times New Roman"/>
          <w:kern w:val="21"/>
          <w:sz w:val="32"/>
          <w:szCs w:val="32"/>
        </w:rPr>
        <w:t>文书笔录公开率=文书笔录公开数/应公开案件数×100%</w:t>
      </w:r>
      <w:r>
        <w:rPr>
          <w:rFonts w:hint="eastAsia" w:ascii="Times New Roman" w:hAnsi="Times New Roman" w:eastAsia="仿宋_GB2312" w:cs="Times New Roman"/>
          <w:kern w:val="21"/>
          <w:sz w:val="32"/>
          <w:szCs w:val="32"/>
        </w:rPr>
        <w:t>，按年度进行考核。各业务庭</w:t>
      </w:r>
      <w:r>
        <w:rPr>
          <w:rFonts w:ascii="Times New Roman" w:hAnsi="Times New Roman" w:eastAsia="仿宋_GB2312" w:cs="Times New Roman"/>
          <w:kern w:val="21"/>
          <w:sz w:val="32"/>
          <w:szCs w:val="32"/>
        </w:rPr>
        <w:t>文书笔录公开率应达到</w:t>
      </w:r>
      <w:r>
        <w:rPr>
          <w:rFonts w:hint="eastAsia" w:ascii="Times New Roman" w:hAnsi="Times New Roman" w:eastAsia="仿宋_GB2312" w:cs="Times New Roman"/>
          <w:kern w:val="21"/>
          <w:sz w:val="32"/>
          <w:szCs w:val="32"/>
        </w:rPr>
        <w:t>45</w:t>
      </w:r>
      <w:r>
        <w:rPr>
          <w:rFonts w:ascii="Times New Roman" w:hAnsi="Times New Roman" w:eastAsia="仿宋_GB2312" w:cs="Times New Roman"/>
          <w:kern w:val="21"/>
          <w:sz w:val="32"/>
          <w:szCs w:val="32"/>
        </w:rPr>
        <w:t>%以上，</w:t>
      </w:r>
      <w:r>
        <w:rPr>
          <w:rFonts w:hint="eastAsia" w:ascii="Times New Roman" w:hAnsi="Times New Roman" w:eastAsia="仿宋_GB2312" w:cs="Times New Roman"/>
          <w:kern w:val="21"/>
          <w:sz w:val="32"/>
          <w:szCs w:val="32"/>
        </w:rPr>
        <w:t>考核时</w:t>
      </w:r>
      <w:r>
        <w:rPr>
          <w:rFonts w:ascii="Times New Roman" w:hAnsi="Times New Roman" w:eastAsia="仿宋_GB2312" w:cs="Times New Roman"/>
          <w:kern w:val="21"/>
          <w:sz w:val="32"/>
          <w:szCs w:val="32"/>
        </w:rPr>
        <w:t>达不到</w:t>
      </w:r>
      <w:r>
        <w:rPr>
          <w:rFonts w:hint="eastAsia" w:ascii="Times New Roman" w:hAnsi="Times New Roman" w:eastAsia="仿宋_GB2312" w:cs="Times New Roman"/>
          <w:kern w:val="21"/>
          <w:sz w:val="32"/>
          <w:szCs w:val="32"/>
        </w:rPr>
        <w:t>45</w:t>
      </w:r>
      <w:r>
        <w:rPr>
          <w:rFonts w:ascii="Times New Roman" w:hAnsi="Times New Roman" w:eastAsia="仿宋_GB2312" w:cs="Times New Roman"/>
          <w:kern w:val="21"/>
          <w:sz w:val="32"/>
          <w:szCs w:val="32"/>
        </w:rPr>
        <w:t>%的</w:t>
      </w:r>
      <w:r>
        <w:rPr>
          <w:rFonts w:hint="eastAsia" w:ascii="Times New Roman" w:hAnsi="Times New Roman" w:eastAsia="仿宋_GB2312" w:cs="Times New Roman"/>
          <w:kern w:val="21"/>
          <w:sz w:val="32"/>
          <w:szCs w:val="32"/>
        </w:rPr>
        <w:t>，对所在庭室的员额法官</w:t>
      </w:r>
      <w:r>
        <w:rPr>
          <w:rFonts w:ascii="Times New Roman" w:hAnsi="Times New Roman" w:eastAsia="仿宋_GB2312" w:cs="Times New Roman"/>
          <w:kern w:val="21"/>
          <w:sz w:val="32"/>
          <w:szCs w:val="32"/>
        </w:rPr>
        <w:t>予以减分，每低于基础比率1个百分点减0.</w:t>
      </w:r>
      <w:r>
        <w:rPr>
          <w:rFonts w:hint="eastAsia" w:ascii="Times New Roman" w:hAnsi="Times New Roman" w:eastAsia="仿宋_GB2312" w:cs="Times New Roman"/>
          <w:kern w:val="21"/>
          <w:sz w:val="32"/>
          <w:szCs w:val="32"/>
        </w:rPr>
        <w:t>3</w:t>
      </w:r>
      <w:r>
        <w:rPr>
          <w:rFonts w:ascii="Times New Roman" w:hAnsi="Times New Roman" w:eastAsia="仿宋_GB2312" w:cs="Times New Roman"/>
          <w:kern w:val="21"/>
          <w:sz w:val="32"/>
          <w:szCs w:val="32"/>
        </w:rPr>
        <w:t>分，减分以</w:t>
      </w:r>
      <w:r>
        <w:rPr>
          <w:rFonts w:hint="eastAsia" w:ascii="Times New Roman" w:hAnsi="Times New Roman" w:eastAsia="仿宋_GB2312" w:cs="Times New Roman"/>
          <w:kern w:val="21"/>
          <w:sz w:val="32"/>
          <w:szCs w:val="32"/>
        </w:rPr>
        <w:t>1.5</w:t>
      </w:r>
      <w:r>
        <w:rPr>
          <w:rFonts w:ascii="Times New Roman" w:hAnsi="Times New Roman" w:eastAsia="仿宋_GB2312" w:cs="Times New Roman"/>
          <w:kern w:val="21"/>
          <w:sz w:val="32"/>
          <w:szCs w:val="32"/>
        </w:rPr>
        <w:t>分为限。</w:t>
      </w:r>
    </w:p>
    <w:p>
      <w:pPr>
        <w:spacing w:line="570" w:lineRule="exact"/>
        <w:ind w:firstLine="640" w:firstLineChars="200"/>
        <w:rPr>
          <w:rFonts w:ascii="楷体" w:hAnsi="楷体" w:eastAsia="楷体" w:cs="楷体"/>
          <w:b/>
          <w:sz w:val="32"/>
          <w:szCs w:val="32"/>
        </w:rPr>
      </w:pPr>
      <w:r>
        <w:rPr>
          <w:rFonts w:hint="eastAsia" w:ascii="Times New Roman" w:hAnsi="Times New Roman" w:eastAsia="黑体" w:cs="Times New Roman"/>
          <w:sz w:val="32"/>
          <w:szCs w:val="32"/>
        </w:rPr>
        <w:t>二、管理考核指标（9分）</w:t>
      </w:r>
    </w:p>
    <w:p>
      <w:pPr>
        <w:spacing w:line="570" w:lineRule="exact"/>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1</w:t>
      </w:r>
      <w:r>
        <w:rPr>
          <w:rFonts w:ascii="Times New Roman" w:hAnsi="Times New Roman" w:eastAsia="仿宋_GB2312" w:cs="Times New Roman"/>
          <w:b/>
          <w:bCs/>
          <w:sz w:val="32"/>
          <w:szCs w:val="32"/>
        </w:rPr>
        <w:t>.</w:t>
      </w:r>
      <w:r>
        <w:rPr>
          <w:rFonts w:ascii="Times New Roman" w:hAnsi="Times New Roman" w:eastAsia="仿宋_GB2312" w:cs="Times New Roman"/>
          <w:b/>
          <w:sz w:val="32"/>
          <w:szCs w:val="32"/>
        </w:rPr>
        <w:t>裁判文书质量指标</w:t>
      </w: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rPr>
        <w:t>3</w:t>
      </w:r>
      <w:r>
        <w:rPr>
          <w:rFonts w:ascii="Times New Roman" w:hAnsi="Times New Roman" w:eastAsia="仿宋_GB2312" w:cs="Times New Roman"/>
          <w:b/>
          <w:bCs/>
          <w:sz w:val="32"/>
          <w:szCs w:val="32"/>
        </w:rPr>
        <w:t>分）</w:t>
      </w:r>
    </w:p>
    <w:p>
      <w:pPr>
        <w:spacing w:line="57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用于考核</w:t>
      </w:r>
      <w:r>
        <w:rPr>
          <w:rFonts w:hint="eastAsia" w:ascii="Times New Roman" w:hAnsi="Times New Roman" w:eastAsia="仿宋_GB2312" w:cs="Times New Roman"/>
          <w:sz w:val="32"/>
          <w:szCs w:val="32"/>
        </w:rPr>
        <w:t>员额法官</w:t>
      </w:r>
      <w:r>
        <w:rPr>
          <w:rFonts w:ascii="Times New Roman" w:hAnsi="Times New Roman" w:eastAsia="仿宋_GB2312" w:cs="Times New Roman"/>
          <w:sz w:val="32"/>
          <w:szCs w:val="32"/>
        </w:rPr>
        <w:t>裁判文书质量，按年度进行考核。</w:t>
      </w:r>
    </w:p>
    <w:p>
      <w:pPr>
        <w:spacing w:line="57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sz w:val="32"/>
          <w:szCs w:val="32"/>
        </w:rPr>
        <w:t>年度内</w:t>
      </w:r>
      <w:r>
        <w:rPr>
          <w:rFonts w:hint="eastAsia" w:ascii="Times New Roman" w:hAnsi="Times New Roman" w:eastAsia="仿宋_GB2312" w:cs="Times New Roman"/>
          <w:bCs/>
          <w:sz w:val="32"/>
          <w:szCs w:val="32"/>
        </w:rPr>
        <w:t>对</w:t>
      </w:r>
      <w:r>
        <w:rPr>
          <w:rFonts w:hint="eastAsia" w:ascii="Times New Roman" w:hAnsi="Times New Roman" w:eastAsia="仿宋_GB2312" w:cs="Times New Roman"/>
          <w:sz w:val="32"/>
          <w:szCs w:val="32"/>
        </w:rPr>
        <w:t>员额法官</w:t>
      </w:r>
      <w:r>
        <w:rPr>
          <w:rFonts w:hint="eastAsia" w:ascii="Times New Roman" w:hAnsi="Times New Roman" w:eastAsia="仿宋_GB2312" w:cs="Times New Roman"/>
          <w:bCs/>
          <w:sz w:val="32"/>
          <w:szCs w:val="32"/>
        </w:rPr>
        <w:t>提交的已公开裁判文书修改申请进行审查，</w:t>
      </w:r>
      <w:r>
        <w:rPr>
          <w:rFonts w:ascii="Times New Roman" w:hAnsi="Times New Roman" w:eastAsia="仿宋_GB2312" w:cs="Times New Roman"/>
          <w:sz w:val="32"/>
          <w:szCs w:val="32"/>
        </w:rPr>
        <w:t>发现裁判文书存在明显低级错误情形的</w:t>
      </w:r>
      <w:r>
        <w:rPr>
          <w:rFonts w:hint="eastAsia" w:ascii="Times New Roman" w:hAnsi="Times New Roman" w:eastAsia="仿宋_GB2312" w:cs="Times New Roman"/>
          <w:sz w:val="32"/>
          <w:szCs w:val="32"/>
        </w:rPr>
        <w:t>，每篇减0.1</w:t>
      </w:r>
      <w:r>
        <w:rPr>
          <w:rFonts w:hint="eastAsia" w:ascii="Times New Roman" w:hAnsi="Times New Roman" w:eastAsia="仿宋_GB2312" w:cs="Times New Roman"/>
          <w:bCs/>
          <w:sz w:val="32"/>
          <w:szCs w:val="32"/>
        </w:rPr>
        <w:t>分，年末</w:t>
      </w:r>
      <w:r>
        <w:rPr>
          <w:rFonts w:ascii="Times New Roman" w:hAnsi="Times New Roman" w:eastAsia="仿宋_GB2312" w:cs="Times New Roman"/>
          <w:bCs/>
          <w:sz w:val="32"/>
          <w:szCs w:val="32"/>
        </w:rPr>
        <w:t>按</w:t>
      </w:r>
      <w:r>
        <w:rPr>
          <w:rFonts w:ascii="Times New Roman" w:hAnsi="Times New Roman" w:eastAsia="仿宋_GB2312" w:cs="Times New Roman"/>
          <w:sz w:val="32"/>
          <w:szCs w:val="32"/>
        </w:rPr>
        <w:t>一定</w:t>
      </w:r>
      <w:r>
        <w:rPr>
          <w:rFonts w:ascii="Times New Roman" w:hAnsi="Times New Roman" w:eastAsia="仿宋_GB2312" w:cs="Times New Roman"/>
          <w:bCs/>
          <w:sz w:val="32"/>
          <w:szCs w:val="32"/>
        </w:rPr>
        <w:t>比率随机抽查</w:t>
      </w:r>
      <w:r>
        <w:rPr>
          <w:rFonts w:hint="eastAsia" w:ascii="Times New Roman" w:hAnsi="Times New Roman" w:eastAsia="仿宋_GB2312" w:cs="Times New Roman"/>
          <w:bCs/>
          <w:sz w:val="32"/>
          <w:szCs w:val="32"/>
        </w:rPr>
        <w:t>员额法官</w:t>
      </w:r>
      <w:r>
        <w:rPr>
          <w:rFonts w:ascii="Times New Roman" w:hAnsi="Times New Roman" w:eastAsia="仿宋_GB2312" w:cs="Times New Roman"/>
          <w:bCs/>
          <w:sz w:val="32"/>
          <w:szCs w:val="32"/>
        </w:rPr>
        <w:t>部分上网裁判文书，</w:t>
      </w:r>
      <w:r>
        <w:rPr>
          <w:rFonts w:ascii="Times New Roman" w:hAnsi="Times New Roman" w:eastAsia="仿宋_GB2312" w:cs="Times New Roman"/>
          <w:sz w:val="32"/>
          <w:szCs w:val="32"/>
        </w:rPr>
        <w:t>发现裁判文书存在明显低级错误情形的，</w:t>
      </w:r>
      <w:r>
        <w:rPr>
          <w:rFonts w:hint="eastAsia" w:ascii="Times New Roman" w:hAnsi="Times New Roman" w:eastAsia="仿宋_GB2312" w:cs="Times New Roman"/>
          <w:sz w:val="32"/>
          <w:szCs w:val="32"/>
        </w:rPr>
        <w:t>每篇减</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分，减分以</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分为限。</w:t>
      </w:r>
    </w:p>
    <w:p>
      <w:pPr>
        <w:spacing w:line="57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bCs/>
          <w:sz w:val="32"/>
          <w:szCs w:val="32"/>
        </w:rPr>
        <w:t>2</w:t>
      </w:r>
      <w:r>
        <w:rPr>
          <w:rFonts w:ascii="Times New Roman" w:hAnsi="Times New Roman" w:eastAsia="仿宋_GB2312" w:cs="Times New Roman"/>
          <w:b/>
          <w:bCs/>
          <w:sz w:val="32"/>
          <w:szCs w:val="32"/>
        </w:rPr>
        <w:t>.</w:t>
      </w:r>
      <w:r>
        <w:rPr>
          <w:rFonts w:ascii="Times New Roman" w:hAnsi="Times New Roman" w:eastAsia="仿宋_GB2312" w:cs="Times New Roman"/>
          <w:b/>
          <w:sz w:val="32"/>
          <w:szCs w:val="32"/>
        </w:rPr>
        <w:t>案件质量评查指标（</w:t>
      </w:r>
      <w:r>
        <w:rPr>
          <w:rFonts w:hint="eastAsia" w:ascii="Times New Roman" w:hAnsi="Times New Roman" w:eastAsia="仿宋_GB2312" w:cs="Times New Roman"/>
          <w:b/>
          <w:sz w:val="32"/>
          <w:szCs w:val="32"/>
        </w:rPr>
        <w:t>3</w:t>
      </w:r>
      <w:r>
        <w:rPr>
          <w:rFonts w:ascii="Times New Roman" w:hAnsi="Times New Roman" w:eastAsia="仿宋_GB2312" w:cs="Times New Roman"/>
          <w:b/>
          <w:sz w:val="32"/>
          <w:szCs w:val="32"/>
        </w:rPr>
        <w:t>分）</w:t>
      </w:r>
    </w:p>
    <w:p>
      <w:pPr>
        <w:spacing w:line="57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用于考核</w:t>
      </w:r>
      <w:r>
        <w:rPr>
          <w:rFonts w:hint="eastAsia" w:ascii="Times New Roman" w:hAnsi="Times New Roman" w:eastAsia="仿宋_GB2312" w:cs="Times New Roman"/>
          <w:bCs/>
          <w:sz w:val="32"/>
          <w:szCs w:val="32"/>
        </w:rPr>
        <w:t>员额法官</w:t>
      </w:r>
      <w:r>
        <w:rPr>
          <w:rFonts w:ascii="Times New Roman" w:hAnsi="Times New Roman" w:eastAsia="仿宋_GB2312" w:cs="Times New Roman"/>
          <w:bCs/>
          <w:sz w:val="32"/>
          <w:szCs w:val="32"/>
        </w:rPr>
        <w:t>案件质量</w:t>
      </w:r>
      <w:r>
        <w:rPr>
          <w:rFonts w:ascii="Times New Roman" w:hAnsi="Times New Roman" w:eastAsia="仿宋_GB2312" w:cs="Times New Roman"/>
          <w:sz w:val="32"/>
          <w:szCs w:val="32"/>
        </w:rPr>
        <w:t>监督管理情况</w:t>
      </w:r>
      <w:r>
        <w:rPr>
          <w:rFonts w:ascii="Times New Roman" w:hAnsi="Times New Roman" w:eastAsia="仿宋_GB2312" w:cs="Times New Roman"/>
          <w:bCs/>
          <w:sz w:val="32"/>
          <w:szCs w:val="32"/>
        </w:rPr>
        <w:t>，按年度进行考核。</w:t>
      </w:r>
    </w:p>
    <w:p>
      <w:pPr>
        <w:spacing w:line="57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年度内员额法官</w:t>
      </w:r>
      <w:r>
        <w:rPr>
          <w:rFonts w:ascii="Times New Roman" w:hAnsi="Times New Roman" w:eastAsia="仿宋_GB2312" w:cs="Times New Roman"/>
          <w:sz w:val="32"/>
          <w:szCs w:val="32"/>
        </w:rPr>
        <w:t>案件评查存在以下情形的予以扣分：经上级法院抽查发现评查案件存在严重质量问题并且被通报的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每查实1</w:t>
      </w:r>
      <w:r>
        <w:rPr>
          <w:rFonts w:hint="eastAsia" w:ascii="Times New Roman" w:hAnsi="Times New Roman" w:eastAsia="仿宋_GB2312" w:cs="Times New Roman"/>
          <w:sz w:val="32"/>
          <w:szCs w:val="32"/>
        </w:rPr>
        <w:t>件</w:t>
      </w:r>
      <w:r>
        <w:rPr>
          <w:rFonts w:ascii="Times New Roman" w:hAnsi="Times New Roman" w:eastAsia="仿宋_GB2312" w:cs="Times New Roman"/>
          <w:sz w:val="32"/>
          <w:szCs w:val="32"/>
        </w:rPr>
        <w:t>减0.</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分，减分以</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分为限。</w:t>
      </w:r>
    </w:p>
    <w:p>
      <w:pPr>
        <w:spacing w:line="570" w:lineRule="exact"/>
        <w:ind w:firstLine="643" w:firstLineChars="200"/>
        <w:rPr>
          <w:rFonts w:ascii="Times New Roman" w:hAnsi="Times New Roman" w:eastAsia="仿宋_GB2312" w:cs="Times New Roman"/>
          <w:b/>
          <w:bCs/>
          <w:kern w:val="21"/>
          <w:sz w:val="32"/>
          <w:szCs w:val="32"/>
        </w:rPr>
      </w:pPr>
      <w:r>
        <w:rPr>
          <w:rFonts w:hint="eastAsia" w:ascii="Times New Roman" w:hAnsi="Times New Roman" w:eastAsia="仿宋_GB2312" w:cs="Times New Roman"/>
          <w:b/>
          <w:bCs/>
          <w:kern w:val="21"/>
          <w:sz w:val="32"/>
          <w:szCs w:val="32"/>
        </w:rPr>
        <w:t>3</w:t>
      </w:r>
      <w:r>
        <w:rPr>
          <w:rFonts w:ascii="Times New Roman" w:hAnsi="Times New Roman" w:eastAsia="仿宋_GB2312" w:cs="Times New Roman"/>
          <w:b/>
          <w:bCs/>
          <w:kern w:val="21"/>
          <w:sz w:val="32"/>
          <w:szCs w:val="32"/>
        </w:rPr>
        <w:t>.卷宗归档率指标（</w:t>
      </w:r>
      <w:r>
        <w:rPr>
          <w:rFonts w:hint="eastAsia" w:ascii="Times New Roman" w:hAnsi="Times New Roman" w:eastAsia="仿宋_GB2312" w:cs="Times New Roman"/>
          <w:b/>
          <w:bCs/>
          <w:kern w:val="21"/>
          <w:sz w:val="32"/>
          <w:szCs w:val="32"/>
        </w:rPr>
        <w:t>3</w:t>
      </w:r>
      <w:r>
        <w:rPr>
          <w:rFonts w:ascii="Times New Roman" w:hAnsi="Times New Roman" w:eastAsia="仿宋_GB2312" w:cs="Times New Roman"/>
          <w:b/>
          <w:bCs/>
          <w:kern w:val="21"/>
          <w:sz w:val="32"/>
          <w:szCs w:val="32"/>
        </w:rPr>
        <w:t>分）</w:t>
      </w:r>
    </w:p>
    <w:p>
      <w:pPr>
        <w:spacing w:line="570" w:lineRule="exact"/>
        <w:ind w:firstLine="640" w:firstLineChars="200"/>
        <w:rPr>
          <w:rFonts w:ascii="Times New Roman" w:hAnsi="Times New Roman" w:eastAsia="仿宋_GB2312" w:cs="Times New Roman"/>
          <w:bCs/>
          <w:kern w:val="21"/>
          <w:sz w:val="32"/>
          <w:szCs w:val="32"/>
        </w:rPr>
      </w:pPr>
      <w:r>
        <w:rPr>
          <w:rFonts w:ascii="Times New Roman" w:hAnsi="Times New Roman" w:eastAsia="仿宋_GB2312" w:cs="Times New Roman"/>
          <w:bCs/>
          <w:kern w:val="21"/>
          <w:sz w:val="32"/>
          <w:szCs w:val="32"/>
        </w:rPr>
        <w:t>用于考核卷宗归档及时性，已结案件在1个月内应归档完毕。</w:t>
      </w:r>
    </w:p>
    <w:p>
      <w:pPr>
        <w:spacing w:line="570" w:lineRule="exact"/>
        <w:ind w:firstLine="640" w:firstLineChars="200"/>
        <w:rPr>
          <w:rFonts w:ascii="Times New Roman" w:hAnsi="Times New Roman" w:eastAsia="仿宋_GB2312" w:cs="Times New Roman"/>
          <w:bCs/>
          <w:kern w:val="21"/>
          <w:sz w:val="32"/>
          <w:szCs w:val="32"/>
        </w:rPr>
      </w:pPr>
      <w:r>
        <w:rPr>
          <w:rFonts w:ascii="Times New Roman" w:hAnsi="Times New Roman" w:eastAsia="仿宋_GB2312" w:cs="Times New Roman"/>
          <w:bCs/>
          <w:kern w:val="21"/>
          <w:sz w:val="32"/>
          <w:szCs w:val="32"/>
        </w:rPr>
        <w:t>年度卷宗归档率考核的基础分值设定为</w:t>
      </w:r>
      <w:r>
        <w:rPr>
          <w:rFonts w:hint="eastAsia" w:ascii="Times New Roman" w:hAnsi="Times New Roman" w:eastAsia="仿宋_GB2312" w:cs="Times New Roman"/>
          <w:bCs/>
          <w:kern w:val="21"/>
          <w:sz w:val="32"/>
          <w:szCs w:val="32"/>
        </w:rPr>
        <w:t>3</w:t>
      </w:r>
      <w:r>
        <w:rPr>
          <w:rFonts w:ascii="Times New Roman" w:hAnsi="Times New Roman" w:eastAsia="仿宋_GB2312" w:cs="Times New Roman"/>
          <w:bCs/>
          <w:kern w:val="21"/>
          <w:sz w:val="32"/>
          <w:szCs w:val="32"/>
        </w:rPr>
        <w:t>分，考核202</w:t>
      </w:r>
      <w:r>
        <w:rPr>
          <w:rFonts w:hint="eastAsia" w:ascii="Times New Roman" w:hAnsi="Times New Roman" w:eastAsia="仿宋_GB2312" w:cs="Times New Roman"/>
          <w:bCs/>
          <w:kern w:val="21"/>
          <w:sz w:val="32"/>
          <w:szCs w:val="32"/>
        </w:rPr>
        <w:t>2</w:t>
      </w:r>
      <w:r>
        <w:rPr>
          <w:rFonts w:ascii="Times New Roman" w:hAnsi="Times New Roman" w:eastAsia="仿宋_GB2312" w:cs="Times New Roman"/>
          <w:bCs/>
          <w:kern w:val="21"/>
          <w:sz w:val="32"/>
          <w:szCs w:val="32"/>
        </w:rPr>
        <w:t>年1月1日至考核节点前1个月期间审结案件的卷宗归档情况，至考核时间节点未完成归档的案件，每1件减0.</w:t>
      </w:r>
      <w:r>
        <w:rPr>
          <w:rFonts w:hint="eastAsia" w:ascii="Times New Roman" w:hAnsi="Times New Roman" w:eastAsia="仿宋_GB2312" w:cs="Times New Roman"/>
          <w:bCs/>
          <w:kern w:val="21"/>
          <w:sz w:val="32"/>
          <w:szCs w:val="32"/>
        </w:rPr>
        <w:t>5</w:t>
      </w:r>
      <w:r>
        <w:rPr>
          <w:rFonts w:ascii="Times New Roman" w:hAnsi="Times New Roman" w:eastAsia="仿宋_GB2312" w:cs="Times New Roman"/>
          <w:bCs/>
          <w:kern w:val="21"/>
          <w:sz w:val="32"/>
          <w:szCs w:val="32"/>
        </w:rPr>
        <w:t>分，减分以</w:t>
      </w:r>
      <w:r>
        <w:rPr>
          <w:rFonts w:hint="eastAsia" w:ascii="Times New Roman" w:hAnsi="Times New Roman" w:eastAsia="仿宋_GB2312" w:cs="Times New Roman"/>
          <w:bCs/>
          <w:kern w:val="21"/>
          <w:sz w:val="32"/>
          <w:szCs w:val="32"/>
        </w:rPr>
        <w:t>3</w:t>
      </w:r>
      <w:r>
        <w:rPr>
          <w:rFonts w:ascii="Times New Roman" w:hAnsi="Times New Roman" w:eastAsia="仿宋_GB2312" w:cs="Times New Roman"/>
          <w:bCs/>
          <w:kern w:val="21"/>
          <w:sz w:val="32"/>
          <w:szCs w:val="32"/>
        </w:rPr>
        <w:t>分为限。</w:t>
      </w:r>
    </w:p>
    <w:p>
      <w:pPr>
        <w:numPr>
          <w:ilvl w:val="0"/>
          <w:numId w:val="6"/>
        </w:numPr>
        <w:spacing w:line="57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加分考核指标</w:t>
      </w:r>
    </w:p>
    <w:p>
      <w:pPr>
        <w:spacing w:line="570" w:lineRule="exact"/>
        <w:ind w:firstLine="643" w:firstLineChars="200"/>
        <w:rPr>
          <w:rFonts w:ascii="Times New Roman" w:hAnsi="Times New Roman" w:eastAsia="仿宋_GB2312" w:cs="Times New Roman"/>
          <w:b/>
          <w:bCs/>
          <w:kern w:val="21"/>
          <w:sz w:val="32"/>
          <w:szCs w:val="32"/>
        </w:rPr>
      </w:pPr>
      <w:r>
        <w:rPr>
          <w:rFonts w:ascii="Times New Roman" w:hAnsi="Times New Roman" w:eastAsia="仿宋_GB2312" w:cs="Times New Roman"/>
          <w:b/>
          <w:bCs/>
          <w:kern w:val="21"/>
          <w:sz w:val="32"/>
          <w:szCs w:val="32"/>
        </w:rPr>
        <w:t>1.</w:t>
      </w:r>
      <w:r>
        <w:rPr>
          <w:rFonts w:hint="eastAsia" w:ascii="Times New Roman" w:hAnsi="Times New Roman" w:eastAsia="仿宋_GB2312" w:cs="Times New Roman"/>
          <w:b/>
          <w:bCs/>
          <w:kern w:val="21"/>
          <w:sz w:val="32"/>
          <w:szCs w:val="32"/>
        </w:rPr>
        <w:t>全口径案件诉</w:t>
      </w:r>
      <w:r>
        <w:rPr>
          <w:rFonts w:ascii="Times New Roman" w:hAnsi="Times New Roman" w:eastAsia="仿宋_GB2312" w:cs="Times New Roman"/>
          <w:b/>
          <w:bCs/>
          <w:kern w:val="21"/>
          <w:sz w:val="32"/>
          <w:szCs w:val="32"/>
        </w:rPr>
        <w:t>-</w:t>
      </w:r>
      <w:r>
        <w:rPr>
          <w:rFonts w:hint="eastAsia" w:ascii="Times New Roman" w:hAnsi="Times New Roman" w:eastAsia="仿宋_GB2312" w:cs="Times New Roman"/>
          <w:b/>
          <w:bCs/>
          <w:kern w:val="21"/>
          <w:sz w:val="32"/>
          <w:szCs w:val="32"/>
        </w:rPr>
        <w:t>程比（1分）</w:t>
      </w:r>
    </w:p>
    <w:p>
      <w:pPr>
        <w:spacing w:line="570" w:lineRule="exact"/>
        <w:ind w:firstLine="640" w:firstLineChars="200"/>
        <w:rPr>
          <w:rFonts w:ascii="Times New Roman" w:hAnsi="Times New Roman" w:eastAsia="仿宋_GB2312" w:cs="Times New Roman"/>
          <w:bCs/>
          <w:color w:val="000000" w:themeColor="text1"/>
          <w:kern w:val="21"/>
          <w:sz w:val="32"/>
          <w:szCs w:val="32"/>
        </w:rPr>
      </w:pPr>
      <w:r>
        <w:rPr>
          <w:rFonts w:hint="eastAsia" w:ascii="Times New Roman" w:hAnsi="Times New Roman" w:eastAsia="仿宋_GB2312" w:cs="Times New Roman"/>
          <w:bCs/>
          <w:color w:val="000000" w:themeColor="text1"/>
          <w:kern w:val="21"/>
          <w:sz w:val="32"/>
          <w:szCs w:val="32"/>
        </w:rPr>
        <w:t>全口径案件诉</w:t>
      </w:r>
      <w:r>
        <w:rPr>
          <w:rFonts w:ascii="Times New Roman" w:hAnsi="Times New Roman" w:eastAsia="仿宋_GB2312" w:cs="Times New Roman"/>
          <w:bCs/>
          <w:color w:val="000000" w:themeColor="text1"/>
          <w:kern w:val="21"/>
          <w:sz w:val="32"/>
          <w:szCs w:val="32"/>
        </w:rPr>
        <w:t>-</w:t>
      </w:r>
      <w:r>
        <w:rPr>
          <w:rFonts w:hint="eastAsia" w:ascii="Times New Roman" w:hAnsi="Times New Roman" w:eastAsia="仿宋_GB2312" w:cs="Times New Roman"/>
          <w:bCs/>
          <w:color w:val="000000" w:themeColor="text1"/>
          <w:kern w:val="21"/>
          <w:sz w:val="32"/>
          <w:szCs w:val="32"/>
        </w:rPr>
        <w:t xml:space="preserve">程比，按年度进行考核。 </w:t>
      </w:r>
    </w:p>
    <w:p>
      <w:pPr>
        <w:spacing w:line="570" w:lineRule="exact"/>
        <w:ind w:firstLine="640" w:firstLineChars="200"/>
        <w:rPr>
          <w:rFonts w:ascii="Times New Roman" w:hAnsi="Times New Roman" w:eastAsia="仿宋_GB2312" w:cs="Times New Roman"/>
          <w:bCs/>
          <w:color w:val="000000" w:themeColor="text1"/>
          <w:kern w:val="21"/>
          <w:sz w:val="32"/>
          <w:szCs w:val="32"/>
        </w:rPr>
      </w:pPr>
      <w:r>
        <w:rPr>
          <w:rFonts w:hint="eastAsia" w:ascii="Times New Roman" w:hAnsi="Times New Roman" w:eastAsia="仿宋_GB2312" w:cs="Times New Roman"/>
          <w:bCs/>
          <w:color w:val="000000" w:themeColor="text1"/>
          <w:kern w:val="21"/>
          <w:sz w:val="32"/>
          <w:szCs w:val="32"/>
        </w:rPr>
        <w:t>年度一审诉讼案件息诉服判没有后续程序的给予加分，每件加0.1分，加分以1分为限。</w:t>
      </w:r>
    </w:p>
    <w:p>
      <w:pPr>
        <w:spacing w:line="570" w:lineRule="exact"/>
        <w:ind w:firstLine="643" w:firstLineChars="200"/>
        <w:rPr>
          <w:rFonts w:ascii="Times New Roman" w:hAnsi="Times New Roman" w:eastAsia="仿宋_GB2312" w:cs="Times New Roman"/>
          <w:b/>
          <w:bCs/>
          <w:kern w:val="21"/>
          <w:sz w:val="32"/>
          <w:szCs w:val="32"/>
        </w:rPr>
      </w:pPr>
      <w:r>
        <w:rPr>
          <w:rFonts w:hint="eastAsia" w:ascii="Times New Roman" w:hAnsi="Times New Roman" w:eastAsia="仿宋_GB2312" w:cs="Times New Roman"/>
          <w:b/>
          <w:bCs/>
          <w:kern w:val="21"/>
          <w:sz w:val="32"/>
          <w:szCs w:val="32"/>
        </w:rPr>
        <w:t>2</w:t>
      </w:r>
      <w:r>
        <w:rPr>
          <w:rFonts w:ascii="Times New Roman" w:hAnsi="Times New Roman" w:eastAsia="仿宋_GB2312" w:cs="Times New Roman"/>
          <w:b/>
          <w:bCs/>
          <w:kern w:val="21"/>
          <w:sz w:val="32"/>
          <w:szCs w:val="32"/>
        </w:rPr>
        <w:t>.人均结案数指标（</w:t>
      </w:r>
      <w:r>
        <w:rPr>
          <w:rFonts w:hint="eastAsia" w:ascii="Times New Roman" w:hAnsi="Times New Roman" w:eastAsia="仿宋_GB2312" w:cs="Times New Roman"/>
          <w:b/>
          <w:bCs/>
          <w:kern w:val="21"/>
          <w:sz w:val="32"/>
          <w:szCs w:val="32"/>
        </w:rPr>
        <w:t>4</w:t>
      </w:r>
      <w:r>
        <w:rPr>
          <w:rFonts w:ascii="Times New Roman" w:hAnsi="Times New Roman" w:eastAsia="仿宋_GB2312" w:cs="Times New Roman"/>
          <w:b/>
          <w:bCs/>
          <w:kern w:val="21"/>
          <w:sz w:val="32"/>
          <w:szCs w:val="32"/>
        </w:rPr>
        <w:t>分）</w:t>
      </w:r>
    </w:p>
    <w:p>
      <w:pPr>
        <w:spacing w:line="570" w:lineRule="exact"/>
        <w:ind w:firstLine="640" w:firstLineChars="200"/>
        <w:rPr>
          <w:rFonts w:ascii="Times New Roman" w:hAnsi="Times New Roman" w:eastAsia="仿宋_GB2312" w:cs="Times New Roman"/>
          <w:bCs/>
          <w:kern w:val="21"/>
          <w:sz w:val="32"/>
          <w:szCs w:val="32"/>
        </w:rPr>
      </w:pPr>
      <w:r>
        <w:rPr>
          <w:rFonts w:ascii="Times New Roman" w:hAnsi="Times New Roman" w:eastAsia="仿宋_GB2312" w:cs="Times New Roman"/>
          <w:bCs/>
          <w:kern w:val="21"/>
          <w:sz w:val="32"/>
          <w:szCs w:val="32"/>
        </w:rPr>
        <w:t>人均结案数＝全口径结案数/员额法官总数，按年度进行考核。</w:t>
      </w:r>
    </w:p>
    <w:p>
      <w:pPr>
        <w:spacing w:line="570" w:lineRule="exact"/>
        <w:ind w:firstLine="640" w:firstLineChars="200"/>
        <w:rPr>
          <w:rFonts w:ascii="Times New Roman" w:hAnsi="Times New Roman" w:eastAsia="仿宋_GB2312" w:cs="Times New Roman"/>
          <w:bCs/>
          <w:kern w:val="21"/>
          <w:sz w:val="32"/>
          <w:szCs w:val="32"/>
        </w:rPr>
      </w:pPr>
      <w:r>
        <w:rPr>
          <w:rFonts w:hint="eastAsia" w:ascii="Times New Roman" w:hAnsi="Times New Roman" w:eastAsia="仿宋_GB2312" w:cs="Times New Roman"/>
          <w:bCs/>
          <w:kern w:val="21"/>
          <w:sz w:val="32"/>
          <w:szCs w:val="32"/>
        </w:rPr>
        <w:t>年度</w:t>
      </w:r>
      <w:r>
        <w:rPr>
          <w:rFonts w:ascii="Times New Roman" w:hAnsi="Times New Roman" w:eastAsia="仿宋_GB2312" w:cs="Times New Roman"/>
          <w:bCs/>
          <w:kern w:val="21"/>
          <w:sz w:val="32"/>
          <w:szCs w:val="32"/>
        </w:rPr>
        <w:t>结案数高于</w:t>
      </w:r>
      <w:r>
        <w:rPr>
          <w:rFonts w:hint="eastAsia" w:ascii="Times New Roman" w:hAnsi="Times New Roman" w:eastAsia="仿宋_GB2312" w:cs="Times New Roman"/>
          <w:bCs/>
          <w:kern w:val="21"/>
          <w:sz w:val="32"/>
          <w:szCs w:val="32"/>
        </w:rPr>
        <w:t>所在业务庭结案数（折抵后）</w:t>
      </w:r>
      <w:r>
        <w:rPr>
          <w:rFonts w:ascii="Times New Roman" w:hAnsi="Times New Roman" w:eastAsia="仿宋_GB2312" w:cs="Times New Roman"/>
          <w:bCs/>
          <w:kern w:val="21"/>
          <w:sz w:val="32"/>
          <w:szCs w:val="32"/>
        </w:rPr>
        <w:t>平均值的给予加分，每高于平均值1件（不足1件按1件计算）的加0.</w:t>
      </w:r>
      <w:r>
        <w:rPr>
          <w:rFonts w:hint="eastAsia" w:ascii="Times New Roman" w:hAnsi="Times New Roman" w:eastAsia="仿宋_GB2312" w:cs="Times New Roman"/>
          <w:bCs/>
          <w:kern w:val="21"/>
          <w:sz w:val="32"/>
          <w:szCs w:val="32"/>
        </w:rPr>
        <w:t>5</w:t>
      </w:r>
      <w:r>
        <w:rPr>
          <w:rFonts w:ascii="Times New Roman" w:hAnsi="Times New Roman" w:eastAsia="仿宋_GB2312" w:cs="Times New Roman"/>
          <w:bCs/>
          <w:kern w:val="21"/>
          <w:sz w:val="32"/>
          <w:szCs w:val="32"/>
        </w:rPr>
        <w:t>分，加分以</w:t>
      </w:r>
      <w:r>
        <w:rPr>
          <w:rFonts w:hint="eastAsia" w:ascii="Times New Roman" w:hAnsi="Times New Roman" w:eastAsia="仿宋_GB2312" w:cs="Times New Roman"/>
          <w:bCs/>
          <w:kern w:val="21"/>
          <w:sz w:val="32"/>
          <w:szCs w:val="32"/>
        </w:rPr>
        <w:t>4</w:t>
      </w:r>
      <w:r>
        <w:rPr>
          <w:rFonts w:ascii="Times New Roman" w:hAnsi="Times New Roman" w:eastAsia="仿宋_GB2312" w:cs="Times New Roman"/>
          <w:bCs/>
          <w:kern w:val="21"/>
          <w:sz w:val="32"/>
          <w:szCs w:val="32"/>
        </w:rPr>
        <w:t>分为限。</w:t>
      </w:r>
    </w:p>
    <w:p>
      <w:pPr>
        <w:spacing w:line="57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kern w:val="21"/>
          <w:sz w:val="32"/>
          <w:szCs w:val="32"/>
        </w:rPr>
        <w:t>3</w:t>
      </w:r>
      <w:r>
        <w:rPr>
          <w:rFonts w:ascii="Times New Roman" w:hAnsi="Times New Roman" w:eastAsia="仿宋_GB2312" w:cs="Times New Roman"/>
          <w:b/>
          <w:kern w:val="21"/>
          <w:sz w:val="32"/>
          <w:szCs w:val="32"/>
        </w:rPr>
        <w:t>.诉讼案件平均审理天数指标（</w:t>
      </w:r>
      <w:r>
        <w:rPr>
          <w:rFonts w:hint="eastAsia" w:ascii="Times New Roman" w:hAnsi="Times New Roman" w:eastAsia="仿宋_GB2312" w:cs="Times New Roman"/>
          <w:b/>
          <w:kern w:val="21"/>
          <w:sz w:val="32"/>
          <w:szCs w:val="32"/>
        </w:rPr>
        <w:t>2</w:t>
      </w:r>
      <w:r>
        <w:rPr>
          <w:rFonts w:ascii="Times New Roman" w:hAnsi="Times New Roman" w:eastAsia="仿宋_GB2312" w:cs="Times New Roman"/>
          <w:b/>
          <w:kern w:val="21"/>
          <w:sz w:val="32"/>
          <w:szCs w:val="32"/>
        </w:rPr>
        <w:t>分）</w:t>
      </w:r>
    </w:p>
    <w:p>
      <w:pPr>
        <w:spacing w:line="570" w:lineRule="exact"/>
        <w:ind w:firstLine="640" w:firstLineChars="200"/>
        <w:rPr>
          <w:rFonts w:ascii="Times New Roman" w:hAnsi="Times New Roman" w:eastAsia="仿宋_GB2312" w:cs="Times New Roman"/>
          <w:kern w:val="21"/>
          <w:sz w:val="32"/>
          <w:szCs w:val="32"/>
        </w:rPr>
      </w:pPr>
      <w:r>
        <w:rPr>
          <w:rFonts w:ascii="Times New Roman" w:hAnsi="Times New Roman" w:eastAsia="仿宋_GB2312" w:cs="Times New Roman"/>
          <w:kern w:val="21"/>
          <w:sz w:val="32"/>
          <w:szCs w:val="32"/>
        </w:rPr>
        <w:t>诉讼案件平均审理天数=诉讼案件审理总天数/诉讼案件结案总数，按年度进行考核。</w:t>
      </w:r>
    </w:p>
    <w:p>
      <w:pPr>
        <w:spacing w:line="570" w:lineRule="exact"/>
        <w:ind w:firstLine="640" w:firstLineChars="200"/>
        <w:rPr>
          <w:rFonts w:ascii="Times New Roman" w:hAnsi="Times New Roman" w:eastAsia="仿宋_GB2312" w:cs="Times New Roman"/>
          <w:kern w:val="21"/>
          <w:sz w:val="32"/>
          <w:szCs w:val="32"/>
        </w:rPr>
      </w:pPr>
      <w:r>
        <w:rPr>
          <w:rFonts w:ascii="Times New Roman" w:hAnsi="Times New Roman" w:eastAsia="仿宋_GB2312" w:cs="Times New Roman"/>
          <w:kern w:val="21"/>
          <w:sz w:val="32"/>
          <w:szCs w:val="32"/>
        </w:rPr>
        <w:t>年度诉讼案件平均审理天数低于</w:t>
      </w:r>
      <w:r>
        <w:rPr>
          <w:rFonts w:hint="eastAsia" w:ascii="Times New Roman" w:hAnsi="Times New Roman" w:eastAsia="仿宋_GB2312" w:cs="Times New Roman"/>
          <w:kern w:val="21"/>
          <w:sz w:val="32"/>
          <w:szCs w:val="32"/>
        </w:rPr>
        <w:t>所在业务庭</w:t>
      </w:r>
      <w:r>
        <w:rPr>
          <w:rFonts w:ascii="Times New Roman" w:hAnsi="Times New Roman" w:eastAsia="仿宋_GB2312" w:cs="Times New Roman"/>
          <w:kern w:val="21"/>
          <w:sz w:val="32"/>
          <w:szCs w:val="32"/>
        </w:rPr>
        <w:t>平均值的给予加分，每低于平均值1天（不足1天的按1天计算）的加0.</w:t>
      </w:r>
      <w:r>
        <w:rPr>
          <w:rFonts w:hint="eastAsia" w:ascii="Times New Roman" w:hAnsi="Times New Roman" w:eastAsia="仿宋_GB2312" w:cs="Times New Roman"/>
          <w:kern w:val="21"/>
          <w:sz w:val="32"/>
          <w:szCs w:val="32"/>
        </w:rPr>
        <w:t>4</w:t>
      </w:r>
      <w:r>
        <w:rPr>
          <w:rFonts w:ascii="Times New Roman" w:hAnsi="Times New Roman" w:eastAsia="仿宋_GB2312" w:cs="Times New Roman"/>
          <w:kern w:val="21"/>
          <w:sz w:val="32"/>
          <w:szCs w:val="32"/>
        </w:rPr>
        <w:t>分，加分以</w:t>
      </w:r>
      <w:r>
        <w:rPr>
          <w:rFonts w:hint="eastAsia" w:ascii="Times New Roman" w:hAnsi="Times New Roman" w:eastAsia="仿宋_GB2312" w:cs="Times New Roman"/>
          <w:kern w:val="21"/>
          <w:sz w:val="32"/>
          <w:szCs w:val="32"/>
        </w:rPr>
        <w:t>2</w:t>
      </w:r>
      <w:r>
        <w:rPr>
          <w:rFonts w:ascii="Times New Roman" w:hAnsi="Times New Roman" w:eastAsia="仿宋_GB2312" w:cs="Times New Roman"/>
          <w:kern w:val="21"/>
          <w:sz w:val="32"/>
          <w:szCs w:val="32"/>
        </w:rPr>
        <w:t>分为限。</w:t>
      </w:r>
    </w:p>
    <w:p>
      <w:pPr>
        <w:widowControl/>
        <w:ind w:firstLine="643" w:firstLineChars="200"/>
        <w:jc w:val="left"/>
      </w:pPr>
      <w:r>
        <w:rPr>
          <w:rFonts w:hint="eastAsia" w:ascii="Times New Roman" w:hAnsi="Times New Roman" w:eastAsia="仿宋_GB2312" w:cs="Times New Roman"/>
          <w:b/>
          <w:kern w:val="21"/>
          <w:sz w:val="32"/>
          <w:szCs w:val="32"/>
        </w:rPr>
        <w:t>4.二审开庭审理率指标（2分）</w:t>
      </w:r>
    </w:p>
    <w:p>
      <w:pPr>
        <w:spacing w:line="570" w:lineRule="exact"/>
        <w:ind w:firstLine="640" w:firstLineChars="200"/>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二审开庭审理率＝二审开庭审结案件数</w:t>
      </w:r>
      <w:r>
        <w:rPr>
          <w:rFonts w:ascii="Times New Roman" w:hAnsi="Times New Roman" w:eastAsia="仿宋_GB2312" w:cs="Times New Roman"/>
          <w:kern w:val="21"/>
          <w:sz w:val="32"/>
          <w:szCs w:val="32"/>
        </w:rPr>
        <w:t>/</w:t>
      </w:r>
      <w:r>
        <w:rPr>
          <w:rFonts w:hint="eastAsia" w:ascii="Times New Roman" w:hAnsi="Times New Roman" w:eastAsia="仿宋_GB2312" w:cs="Times New Roman"/>
          <w:kern w:val="21"/>
          <w:sz w:val="32"/>
          <w:szCs w:val="32"/>
        </w:rPr>
        <w:t>二审结案数</w:t>
      </w:r>
      <w:r>
        <w:rPr>
          <w:rFonts w:ascii="Times New Roman" w:hAnsi="Times New Roman" w:eastAsia="仿宋_GB2312" w:cs="Times New Roman"/>
          <w:kern w:val="21"/>
          <w:sz w:val="32"/>
          <w:szCs w:val="32"/>
        </w:rPr>
        <w:t>×100%</w:t>
      </w:r>
      <w:r>
        <w:rPr>
          <w:rFonts w:hint="eastAsia" w:ascii="Times New Roman" w:hAnsi="Times New Roman" w:eastAsia="仿宋_GB2312" w:cs="Times New Roman"/>
          <w:kern w:val="21"/>
          <w:sz w:val="32"/>
          <w:szCs w:val="32"/>
        </w:rPr>
        <w:t xml:space="preserve">，按年度进行考核。 </w:t>
      </w:r>
    </w:p>
    <w:p>
      <w:pPr>
        <w:spacing w:line="570" w:lineRule="exact"/>
        <w:ind w:firstLine="640" w:firstLineChars="200"/>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年度二审开庭审理率高于所在业务庭平均值的给</w:t>
      </w:r>
      <w:r>
        <w:rPr>
          <w:rFonts w:ascii="Times New Roman" w:hAnsi="Times New Roman" w:eastAsia="仿宋_GB2312" w:cs="Times New Roman"/>
          <w:kern w:val="21"/>
          <w:sz w:val="32"/>
          <w:szCs w:val="32"/>
        </w:rPr>
        <w:t>予</w:t>
      </w:r>
      <w:r>
        <w:rPr>
          <w:rFonts w:hint="eastAsia" w:ascii="Times New Roman" w:hAnsi="Times New Roman" w:eastAsia="仿宋_GB2312" w:cs="Times New Roman"/>
          <w:kern w:val="21"/>
          <w:sz w:val="32"/>
          <w:szCs w:val="32"/>
        </w:rPr>
        <w:t>加分，每高于平均值</w:t>
      </w:r>
      <w:r>
        <w:rPr>
          <w:rFonts w:ascii="Times New Roman" w:hAnsi="Times New Roman" w:eastAsia="仿宋_GB2312" w:cs="Times New Roman"/>
          <w:kern w:val="21"/>
          <w:sz w:val="32"/>
          <w:szCs w:val="32"/>
        </w:rPr>
        <w:t>1%</w:t>
      </w:r>
      <w:r>
        <w:rPr>
          <w:rFonts w:hint="eastAsia" w:ascii="Times New Roman" w:hAnsi="Times New Roman" w:eastAsia="仿宋_GB2312" w:cs="Times New Roman"/>
          <w:kern w:val="21"/>
          <w:sz w:val="32"/>
          <w:szCs w:val="32"/>
        </w:rPr>
        <w:t>（不足</w:t>
      </w:r>
      <w:r>
        <w:rPr>
          <w:rFonts w:ascii="Times New Roman" w:hAnsi="Times New Roman" w:eastAsia="仿宋_GB2312" w:cs="Times New Roman"/>
          <w:kern w:val="21"/>
          <w:sz w:val="32"/>
          <w:szCs w:val="32"/>
        </w:rPr>
        <w:t>1%</w:t>
      </w:r>
      <w:r>
        <w:rPr>
          <w:rFonts w:hint="eastAsia" w:ascii="Times New Roman" w:hAnsi="Times New Roman" w:eastAsia="仿宋_GB2312" w:cs="Times New Roman"/>
          <w:kern w:val="21"/>
          <w:sz w:val="32"/>
          <w:szCs w:val="32"/>
        </w:rPr>
        <w:t xml:space="preserve">的不加分）的加 </w:t>
      </w:r>
      <w:r>
        <w:rPr>
          <w:rFonts w:ascii="Times New Roman" w:hAnsi="Times New Roman" w:eastAsia="仿宋_GB2312" w:cs="Times New Roman"/>
          <w:kern w:val="21"/>
          <w:sz w:val="32"/>
          <w:szCs w:val="32"/>
        </w:rPr>
        <w:t>0.</w:t>
      </w:r>
      <w:r>
        <w:rPr>
          <w:rFonts w:hint="eastAsia" w:ascii="Times New Roman" w:hAnsi="Times New Roman" w:eastAsia="仿宋_GB2312" w:cs="Times New Roman"/>
          <w:kern w:val="21"/>
          <w:sz w:val="32"/>
          <w:szCs w:val="32"/>
        </w:rPr>
        <w:t>2</w:t>
      </w:r>
      <w:r>
        <w:rPr>
          <w:rFonts w:ascii="Times New Roman" w:hAnsi="Times New Roman" w:eastAsia="仿宋_GB2312" w:cs="Times New Roman"/>
          <w:kern w:val="21"/>
          <w:sz w:val="32"/>
          <w:szCs w:val="32"/>
        </w:rPr>
        <w:t xml:space="preserve"> </w:t>
      </w:r>
      <w:r>
        <w:rPr>
          <w:rFonts w:hint="eastAsia" w:ascii="Times New Roman" w:hAnsi="Times New Roman" w:eastAsia="仿宋_GB2312" w:cs="Times New Roman"/>
          <w:kern w:val="21"/>
          <w:sz w:val="32"/>
          <w:szCs w:val="32"/>
        </w:rPr>
        <w:t xml:space="preserve">分，加分以2分为限。 </w:t>
      </w:r>
    </w:p>
    <w:p>
      <w:pPr>
        <w:spacing w:line="570" w:lineRule="exact"/>
        <w:rPr>
          <w:rFonts w:ascii="Times New Roman" w:hAnsi="Times New Roman" w:eastAsia="仿宋_GB2312" w:cs="Times New Roman"/>
          <w:b/>
          <w:sz w:val="32"/>
          <w:szCs w:val="32"/>
        </w:rPr>
      </w:pPr>
    </w:p>
    <w:p>
      <w:pPr>
        <w:spacing w:line="57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注：</w:t>
      </w:r>
      <w:r>
        <w:rPr>
          <w:rFonts w:ascii="Times New Roman" w:hAnsi="Times New Roman" w:eastAsia="仿宋_GB2312" w:cs="Times New Roman"/>
          <w:sz w:val="32"/>
          <w:szCs w:val="32"/>
        </w:rPr>
        <w:t>1.全口径案件数是指诉讼案件和执行案件相加的合计案件数量;</w:t>
      </w:r>
    </w:p>
    <w:p>
      <w:pPr>
        <w:spacing w:line="57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2.审判绩效考核指标计算加减分值时包含小数的，均精确到小数点后两位（四舍五入）；</w:t>
      </w:r>
    </w:p>
    <w:p>
      <w:pPr>
        <w:spacing w:line="57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3.</w:t>
      </w:r>
      <w:r>
        <w:rPr>
          <w:rFonts w:hint="eastAsia" w:ascii="Times New Roman" w:hAnsi="Times New Roman" w:eastAsia="仿宋_GB2312" w:cs="Times New Roman"/>
          <w:bCs/>
          <w:sz w:val="32"/>
          <w:szCs w:val="32"/>
        </w:rPr>
        <w:t>中</w:t>
      </w:r>
      <w:r>
        <w:rPr>
          <w:rFonts w:ascii="Times New Roman" w:hAnsi="Times New Roman" w:eastAsia="仿宋_GB2312" w:cs="Times New Roman"/>
          <w:bCs/>
          <w:sz w:val="32"/>
          <w:szCs w:val="32"/>
        </w:rPr>
        <w:t>院对</w:t>
      </w:r>
      <w:r>
        <w:rPr>
          <w:rFonts w:hint="eastAsia" w:ascii="Times New Roman" w:hAnsi="Times New Roman" w:eastAsia="仿宋_GB2312" w:cs="Times New Roman"/>
          <w:bCs/>
          <w:sz w:val="32"/>
          <w:szCs w:val="32"/>
        </w:rPr>
        <w:t>员额法官</w:t>
      </w:r>
      <w:r>
        <w:rPr>
          <w:rFonts w:ascii="Times New Roman" w:hAnsi="Times New Roman" w:eastAsia="仿宋_GB2312" w:cs="Times New Roman"/>
          <w:bCs/>
          <w:sz w:val="32"/>
          <w:szCs w:val="32"/>
        </w:rPr>
        <w:t>202</w:t>
      </w:r>
      <w:r>
        <w:rPr>
          <w:rFonts w:hint="eastAsia" w:ascii="Times New Roman" w:hAnsi="Times New Roman" w:eastAsia="仿宋_GB2312" w:cs="Times New Roman"/>
          <w:bCs/>
          <w:sz w:val="32"/>
          <w:szCs w:val="32"/>
        </w:rPr>
        <w:t>2</w:t>
      </w:r>
      <w:r>
        <w:rPr>
          <w:rFonts w:ascii="Times New Roman" w:hAnsi="Times New Roman" w:eastAsia="仿宋_GB2312" w:cs="Times New Roman"/>
          <w:bCs/>
          <w:sz w:val="32"/>
          <w:szCs w:val="32"/>
        </w:rPr>
        <w:t>年度审判绩效考核，除裁判文书公开、</w:t>
      </w:r>
      <w:r>
        <w:rPr>
          <w:rFonts w:ascii="Times New Roman" w:hAnsi="Times New Roman" w:eastAsia="仿宋_GB2312" w:cs="Times New Roman"/>
          <w:sz w:val="32"/>
          <w:szCs w:val="32"/>
        </w:rPr>
        <w:t>院庭长审判监督管理</w:t>
      </w:r>
      <w:r>
        <w:rPr>
          <w:rFonts w:hint="eastAsia" w:ascii="Times New Roman" w:hAnsi="Times New Roman" w:eastAsia="仿宋_GB2312" w:cs="Times New Roman"/>
          <w:sz w:val="32"/>
          <w:szCs w:val="32"/>
        </w:rPr>
        <w:t>、</w:t>
      </w:r>
      <w:r>
        <w:rPr>
          <w:rFonts w:hint="eastAsia" w:ascii="Times New Roman" w:hAnsi="Times New Roman" w:eastAsia="仿宋_GB2312" w:cs="Times New Roman"/>
          <w:bCs/>
          <w:sz w:val="32"/>
          <w:szCs w:val="32"/>
        </w:rPr>
        <w:t>旧存未结案件占比</w:t>
      </w:r>
      <w:r>
        <w:rPr>
          <w:rFonts w:ascii="Times New Roman" w:hAnsi="Times New Roman" w:eastAsia="仿宋_GB2312" w:cs="Times New Roman"/>
          <w:bCs/>
          <w:sz w:val="32"/>
          <w:szCs w:val="32"/>
        </w:rPr>
        <w:t>、上诉案件</w:t>
      </w:r>
      <w:r>
        <w:rPr>
          <w:rFonts w:hint="eastAsia" w:ascii="Times New Roman" w:hAnsi="Times New Roman" w:eastAsia="仿宋_GB2312" w:cs="Times New Roman"/>
          <w:bCs/>
          <w:sz w:val="32"/>
          <w:szCs w:val="32"/>
        </w:rPr>
        <w:t>流转周期</w:t>
      </w:r>
      <w:r>
        <w:rPr>
          <w:rFonts w:ascii="Times New Roman" w:hAnsi="Times New Roman" w:eastAsia="仿宋_GB2312" w:cs="Times New Roman"/>
          <w:bCs/>
          <w:sz w:val="32"/>
          <w:szCs w:val="32"/>
        </w:rPr>
        <w:t>指标外，各项指标统计区间均为202</w:t>
      </w:r>
      <w:r>
        <w:rPr>
          <w:rFonts w:hint="eastAsia" w:ascii="Times New Roman" w:hAnsi="Times New Roman" w:eastAsia="仿宋_GB2312" w:cs="Times New Roman"/>
          <w:bCs/>
          <w:sz w:val="32"/>
          <w:szCs w:val="32"/>
        </w:rPr>
        <w:t>2</w:t>
      </w:r>
      <w:r>
        <w:rPr>
          <w:rFonts w:ascii="Times New Roman" w:hAnsi="Times New Roman" w:eastAsia="仿宋_GB2312" w:cs="Times New Roman"/>
          <w:bCs/>
          <w:sz w:val="32"/>
          <w:szCs w:val="32"/>
        </w:rPr>
        <w:t>年1月1日至具体考核节点。年度考核节点根据</w:t>
      </w:r>
      <w:r>
        <w:rPr>
          <w:rFonts w:hint="eastAsia" w:ascii="Times New Roman" w:hAnsi="Times New Roman" w:eastAsia="仿宋_GB2312" w:cs="Times New Roman"/>
          <w:bCs/>
          <w:sz w:val="32"/>
          <w:szCs w:val="32"/>
        </w:rPr>
        <w:t>中院绩效</w:t>
      </w:r>
      <w:r>
        <w:rPr>
          <w:rFonts w:ascii="Times New Roman" w:hAnsi="Times New Roman" w:eastAsia="仿宋_GB2312" w:cs="Times New Roman"/>
          <w:bCs/>
          <w:sz w:val="32"/>
          <w:szCs w:val="32"/>
        </w:rPr>
        <w:t>考核部门工作要求确定</w:t>
      </w:r>
      <w:r>
        <w:rPr>
          <w:rFonts w:hint="eastAsia" w:ascii="Times New Roman" w:hAnsi="Times New Roman" w:eastAsia="仿宋_GB2312" w:cs="Times New Roman"/>
          <w:bCs/>
          <w:sz w:val="32"/>
          <w:szCs w:val="32"/>
        </w:rPr>
        <w:t>；</w:t>
      </w:r>
    </w:p>
    <w:p>
      <w:pPr>
        <w:spacing w:line="57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4.因存在特殊情形而严重影响单项指标数值的，</w:t>
      </w:r>
      <w:r>
        <w:rPr>
          <w:rFonts w:hint="eastAsia" w:ascii="Times New Roman" w:hAnsi="Times New Roman" w:eastAsia="仿宋_GB2312" w:cs="Times New Roman"/>
          <w:bCs/>
          <w:sz w:val="32"/>
          <w:szCs w:val="32"/>
        </w:rPr>
        <w:t>员额法官</w:t>
      </w:r>
      <w:r>
        <w:rPr>
          <w:rFonts w:ascii="Times New Roman" w:hAnsi="Times New Roman" w:eastAsia="仿宋_GB2312" w:cs="Times New Roman"/>
          <w:bCs/>
          <w:sz w:val="32"/>
          <w:szCs w:val="32"/>
        </w:rPr>
        <w:t>可向</w:t>
      </w:r>
      <w:r>
        <w:rPr>
          <w:rFonts w:hint="eastAsia" w:ascii="Times New Roman" w:hAnsi="Times New Roman" w:eastAsia="仿宋_GB2312" w:cs="Times New Roman"/>
          <w:bCs/>
          <w:sz w:val="32"/>
          <w:szCs w:val="32"/>
        </w:rPr>
        <w:t>中</w:t>
      </w:r>
      <w:r>
        <w:rPr>
          <w:rFonts w:ascii="Times New Roman" w:hAnsi="Times New Roman" w:eastAsia="仿宋_GB2312" w:cs="Times New Roman"/>
          <w:bCs/>
          <w:sz w:val="32"/>
          <w:szCs w:val="32"/>
        </w:rPr>
        <w:t>院提出不予减分的申请，由</w:t>
      </w:r>
      <w:r>
        <w:rPr>
          <w:rFonts w:hint="eastAsia" w:ascii="Times New Roman" w:hAnsi="Times New Roman" w:eastAsia="仿宋_GB2312" w:cs="Times New Roman"/>
          <w:bCs/>
          <w:sz w:val="32"/>
          <w:szCs w:val="32"/>
        </w:rPr>
        <w:t>中</w:t>
      </w:r>
      <w:r>
        <w:rPr>
          <w:rFonts w:ascii="Times New Roman" w:hAnsi="Times New Roman" w:eastAsia="仿宋_GB2312" w:cs="Times New Roman"/>
          <w:bCs/>
          <w:sz w:val="32"/>
          <w:szCs w:val="32"/>
        </w:rPr>
        <w:t>院考核工作领导小组研究决定是否减分。</w:t>
      </w:r>
    </w:p>
    <w:p>
      <w:pPr>
        <w:spacing w:line="570" w:lineRule="exact"/>
        <w:ind w:firstLine="640" w:firstLineChars="200"/>
        <w:rPr>
          <w:rFonts w:ascii="Times New Roman" w:hAnsi="Times New Roman" w:eastAsia="仿宋_GB2312" w:cs="Times New Roman"/>
          <w:bCs/>
          <w:sz w:val="32"/>
          <w:szCs w:val="32"/>
        </w:rPr>
      </w:pPr>
    </w:p>
    <w:p>
      <w:pPr>
        <w:spacing w:line="570" w:lineRule="exact"/>
        <w:rPr>
          <w:rFonts w:ascii="Times New Roman" w:hAnsi="Times New Roman" w:eastAsia="仿宋_GB2312" w:cs="Times New Roman"/>
          <w:bCs/>
          <w:color w:val="FF0000"/>
          <w:sz w:val="32"/>
          <w:szCs w:val="32"/>
        </w:rPr>
      </w:pPr>
      <w:r>
        <w:rPr>
          <w:rFonts w:hint="eastAsia" w:ascii="Times New Roman" w:hAnsi="Times New Roman" w:eastAsia="仿宋_GB2312" w:cs="Times New Roman"/>
          <w:bCs/>
          <w:sz w:val="32"/>
          <w:szCs w:val="32"/>
        </w:rPr>
        <w:t xml:space="preserve">   </w:t>
      </w:r>
    </w:p>
    <w:p>
      <w:pPr>
        <w:spacing w:line="570" w:lineRule="exact"/>
        <w:ind w:firstLine="640" w:firstLineChars="200"/>
        <w:rPr>
          <w:rFonts w:ascii="Times New Roman" w:hAnsi="Times New Roman" w:eastAsia="仿宋_GB2312" w:cs="Times New Roman"/>
          <w:bCs/>
          <w:sz w:val="32"/>
          <w:szCs w:val="32"/>
        </w:rPr>
      </w:pPr>
    </w:p>
    <w:p>
      <w:pPr>
        <w:spacing w:line="600" w:lineRule="exact"/>
        <w:rPr>
          <w:rFonts w:ascii="宋体" w:hAnsi="宋体" w:eastAsia="宋体" w:cs="Times New Roman"/>
          <w:b/>
          <w:sz w:val="24"/>
        </w:rPr>
      </w:pPr>
      <w:r>
        <w:rPr>
          <w:rFonts w:hint="eastAsia" w:ascii="宋体" w:hAnsi="宋体" w:eastAsia="宋体" w:cs="Times New Roman"/>
          <w:b/>
          <w:sz w:val="24"/>
        </w:rPr>
        <w:t>附件3</w:t>
      </w:r>
    </w:p>
    <w:p>
      <w:pPr>
        <w:spacing w:line="600" w:lineRule="exact"/>
        <w:jc w:val="center"/>
        <w:rPr>
          <w:rFonts w:ascii="宋体" w:hAnsi="宋体" w:eastAsia="宋体" w:cs="Times New Roman"/>
          <w:b/>
          <w:sz w:val="44"/>
          <w:szCs w:val="44"/>
        </w:rPr>
      </w:pPr>
    </w:p>
    <w:p>
      <w:pPr>
        <w:spacing w:line="600" w:lineRule="exact"/>
        <w:jc w:val="center"/>
        <w:rPr>
          <w:rFonts w:ascii="宋体" w:hAnsi="宋体" w:eastAsia="宋体" w:cs="Times New Roman"/>
          <w:b/>
          <w:sz w:val="44"/>
          <w:szCs w:val="44"/>
        </w:rPr>
      </w:pPr>
      <w:r>
        <w:rPr>
          <w:rFonts w:hint="eastAsia" w:ascii="宋体" w:hAnsi="宋体" w:eastAsia="宋体" w:cs="Times New Roman"/>
          <w:b/>
          <w:sz w:val="44"/>
          <w:szCs w:val="44"/>
        </w:rPr>
        <w:t>中院审判业务部门</w:t>
      </w:r>
    </w:p>
    <w:p>
      <w:pPr>
        <w:spacing w:line="600" w:lineRule="exact"/>
        <w:jc w:val="center"/>
        <w:rPr>
          <w:rFonts w:ascii="宋体" w:hAnsi="宋体" w:eastAsia="宋体" w:cs="Times New Roman"/>
          <w:b/>
          <w:sz w:val="44"/>
          <w:szCs w:val="44"/>
        </w:rPr>
      </w:pPr>
      <w:r>
        <w:rPr>
          <w:rFonts w:hint="eastAsia" w:ascii="宋体" w:hAnsi="宋体" w:eastAsia="宋体" w:cs="Times New Roman"/>
          <w:b/>
          <w:sz w:val="44"/>
          <w:szCs w:val="44"/>
        </w:rPr>
        <w:t>2022年度案件折算标准</w:t>
      </w:r>
    </w:p>
    <w:p>
      <w:pPr>
        <w:spacing w:line="600" w:lineRule="exact"/>
        <w:jc w:val="center"/>
        <w:rPr>
          <w:rFonts w:ascii="宋体" w:hAnsi="宋体" w:eastAsia="宋体" w:cs="Times New Roman"/>
          <w:b/>
          <w:sz w:val="44"/>
          <w:szCs w:val="44"/>
        </w:rPr>
      </w:pPr>
    </w:p>
    <w:p>
      <w:pPr>
        <w:spacing w:line="60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为进一步健全完善审判绩效考核体系，综合考虑各审判业务部门工作实际，结合案件类型等情形，选取数量较多的民事二审案件作为标准案件，确定案件折算标准如下：</w:t>
      </w:r>
    </w:p>
    <w:p>
      <w:pPr>
        <w:spacing w:line="600" w:lineRule="exact"/>
        <w:ind w:firstLine="645"/>
        <w:rPr>
          <w:rFonts w:ascii="仿宋" w:hAnsi="仿宋" w:eastAsia="仿宋" w:cs="Times New Roman"/>
          <w:bCs/>
          <w:kern w:val="21"/>
          <w:sz w:val="32"/>
          <w:szCs w:val="32"/>
        </w:rPr>
      </w:pPr>
      <w:r>
        <w:rPr>
          <w:rFonts w:hint="eastAsia" w:ascii="仿宋" w:hAnsi="仿宋" w:eastAsia="仿宋" w:cs="Times New Roman"/>
          <w:bCs/>
          <w:kern w:val="21"/>
          <w:sz w:val="32"/>
          <w:szCs w:val="32"/>
        </w:rPr>
        <w:t>（1）刑事案件折算标准：1件普通二审折抵1件民事二审案件；1件附民二审折抵1.5件民事二审案件；1件普通一审、二审三多案件、二审经济案件折抵2件民事二审案件；1件附民一审折抵2.5件民事二审案件；1件一审三多案件（其中刑事涉黑一、二审案件和省指职务犯罪案件等疑难复杂案件每件增加折抵3件）、经济一审案件折抵3件民事二审案件；1件刑他案件折抵1件民事二审案件。</w:t>
      </w:r>
    </w:p>
    <w:p>
      <w:pPr>
        <w:spacing w:line="600" w:lineRule="exact"/>
        <w:ind w:firstLine="645"/>
        <w:rPr>
          <w:rFonts w:ascii="仿宋" w:hAnsi="仿宋" w:eastAsia="仿宋" w:cs="Times New Roman"/>
          <w:bCs/>
          <w:kern w:val="21"/>
          <w:sz w:val="32"/>
          <w:szCs w:val="32"/>
        </w:rPr>
      </w:pPr>
      <w:r>
        <w:rPr>
          <w:rFonts w:hint="eastAsia" w:ascii="仿宋" w:hAnsi="仿宋" w:eastAsia="仿宋" w:cs="Times New Roman"/>
          <w:bCs/>
          <w:kern w:val="21"/>
          <w:sz w:val="32"/>
          <w:szCs w:val="32"/>
        </w:rPr>
        <w:t>（2）民事案件一审折算标准：1件折抵2件二审民事案件；民事二审案件折算标准:  1件折抵1件。</w:t>
      </w:r>
    </w:p>
    <w:p>
      <w:pPr>
        <w:spacing w:line="600" w:lineRule="exact"/>
        <w:ind w:firstLine="515" w:firstLineChars="161"/>
        <w:rPr>
          <w:rFonts w:ascii="仿宋" w:hAnsi="仿宋" w:eastAsia="仿宋" w:cs="Times New Roman"/>
          <w:bCs/>
          <w:kern w:val="21"/>
          <w:sz w:val="32"/>
          <w:szCs w:val="32"/>
        </w:rPr>
      </w:pPr>
      <w:r>
        <w:rPr>
          <w:rFonts w:hint="eastAsia" w:ascii="仿宋" w:hAnsi="仿宋" w:eastAsia="仿宋" w:cs="Times New Roman"/>
          <w:bCs/>
          <w:kern w:val="21"/>
          <w:sz w:val="32"/>
          <w:szCs w:val="32"/>
        </w:rPr>
        <w:t>（3）行政一审案件折算标准：1件折抵2件二审案件；行政二审案件折算标准：1件折抵1件；行政赔偿案件折算标准：1件折抵2件；行政诉前调解案件(调解成功的）折算标准：1件折抵1件。</w:t>
      </w:r>
    </w:p>
    <w:p>
      <w:pPr>
        <w:spacing w:line="600" w:lineRule="exact"/>
        <w:ind w:firstLine="515" w:firstLineChars="161"/>
        <w:rPr>
          <w:rFonts w:ascii="仿宋" w:hAnsi="仿宋" w:eastAsia="仿宋" w:cs="Times New Roman"/>
          <w:bCs/>
          <w:kern w:val="21"/>
          <w:sz w:val="32"/>
          <w:szCs w:val="32"/>
        </w:rPr>
      </w:pPr>
      <w:r>
        <w:rPr>
          <w:rFonts w:hint="eastAsia" w:ascii="仿宋" w:hAnsi="仿宋" w:eastAsia="仿宋" w:cs="Times New Roman"/>
          <w:bCs/>
          <w:kern w:val="21"/>
          <w:sz w:val="32"/>
          <w:szCs w:val="32"/>
        </w:rPr>
        <w:t>（4）执行案件、执行异议、执行复议折算标准：1件折抵1件二审案件。</w:t>
      </w:r>
    </w:p>
    <w:p>
      <w:pPr>
        <w:spacing w:line="600" w:lineRule="exact"/>
        <w:ind w:firstLine="515" w:firstLineChars="161"/>
        <w:rPr>
          <w:rFonts w:ascii="仿宋" w:hAnsi="仿宋" w:eastAsia="仿宋" w:cs="Times New Roman"/>
          <w:bCs/>
          <w:kern w:val="21"/>
          <w:sz w:val="32"/>
          <w:szCs w:val="32"/>
        </w:rPr>
      </w:pPr>
      <w:r>
        <w:rPr>
          <w:rFonts w:hint="eastAsia" w:ascii="仿宋" w:hAnsi="仿宋" w:eastAsia="仿宋" w:cs="Times New Roman"/>
          <w:bCs/>
          <w:kern w:val="21"/>
          <w:sz w:val="32"/>
          <w:szCs w:val="32"/>
        </w:rPr>
        <w:t>（5）管辖异议、指定管辖、不予立案案件折算标准：3件折抵1件二审案件。</w:t>
      </w:r>
    </w:p>
    <w:p>
      <w:pPr>
        <w:spacing w:line="600" w:lineRule="exact"/>
        <w:ind w:firstLine="515" w:firstLineChars="161"/>
        <w:rPr>
          <w:rFonts w:ascii="仿宋" w:hAnsi="仿宋" w:eastAsia="仿宋" w:cs="Times New Roman"/>
          <w:bCs/>
          <w:kern w:val="21"/>
          <w:sz w:val="32"/>
          <w:szCs w:val="32"/>
        </w:rPr>
      </w:pPr>
      <w:r>
        <w:rPr>
          <w:rFonts w:hint="eastAsia" w:ascii="仿宋" w:hAnsi="仿宋" w:eastAsia="仿宋" w:cs="Times New Roman"/>
          <w:bCs/>
          <w:kern w:val="21"/>
          <w:sz w:val="32"/>
          <w:szCs w:val="32"/>
        </w:rPr>
        <w:t>（6） 申诉审查案件：1件折抵1件二审案件；再审案件折算标准：1件折抵2件二审案件。</w:t>
      </w:r>
    </w:p>
    <w:p>
      <w:pPr>
        <w:spacing w:line="600" w:lineRule="exact"/>
        <w:ind w:firstLine="515" w:firstLineChars="161"/>
        <w:rPr>
          <w:rFonts w:ascii="仿宋" w:hAnsi="仿宋" w:eastAsia="仿宋" w:cs="Times New Roman"/>
          <w:bCs/>
          <w:kern w:val="21"/>
          <w:sz w:val="32"/>
          <w:szCs w:val="32"/>
        </w:rPr>
      </w:pPr>
      <w:r>
        <w:rPr>
          <w:rFonts w:hint="eastAsia" w:ascii="仿宋" w:hAnsi="仿宋" w:eastAsia="仿宋" w:cs="Times New Roman"/>
          <w:bCs/>
          <w:kern w:val="21"/>
          <w:sz w:val="32"/>
          <w:szCs w:val="32"/>
        </w:rPr>
        <w:t>（7）减刑假释案件折算标准：25件减刑假释案件折抵1件二审案件。</w:t>
      </w:r>
    </w:p>
    <w:p>
      <w:pPr>
        <w:spacing w:line="600" w:lineRule="exact"/>
        <w:ind w:firstLine="515" w:firstLineChars="161"/>
        <w:rPr>
          <w:rFonts w:ascii="仿宋" w:hAnsi="仿宋" w:eastAsia="仿宋" w:cs="Times New Roman"/>
          <w:bCs/>
          <w:kern w:val="21"/>
          <w:sz w:val="32"/>
          <w:szCs w:val="32"/>
        </w:rPr>
      </w:pPr>
      <w:r>
        <w:rPr>
          <w:rFonts w:hint="eastAsia" w:ascii="仿宋" w:hAnsi="仿宋" w:eastAsia="仿宋" w:cs="Times New Roman"/>
          <w:bCs/>
          <w:kern w:val="21"/>
          <w:sz w:val="32"/>
          <w:szCs w:val="32"/>
        </w:rPr>
        <w:t>（8）评查案件折算标准：2件折抵1件二审案件。</w:t>
      </w:r>
    </w:p>
    <w:p>
      <w:pPr>
        <w:spacing w:line="600" w:lineRule="exact"/>
        <w:ind w:firstLine="515" w:firstLineChars="161"/>
        <w:rPr>
          <w:rFonts w:ascii="仿宋" w:hAnsi="仿宋" w:eastAsia="仿宋" w:cs="Times New Roman"/>
          <w:bCs/>
          <w:kern w:val="21"/>
          <w:sz w:val="32"/>
          <w:szCs w:val="32"/>
        </w:rPr>
      </w:pPr>
      <w:r>
        <w:rPr>
          <w:rFonts w:hint="eastAsia" w:ascii="仿宋" w:hAnsi="仿宋" w:eastAsia="仿宋" w:cs="Times New Roman"/>
          <w:bCs/>
          <w:kern w:val="21"/>
          <w:sz w:val="32"/>
          <w:szCs w:val="32"/>
        </w:rPr>
        <w:t>（9）评查裁判文书折算标准：5件折抵1件二审案件。</w:t>
      </w:r>
    </w:p>
    <w:p>
      <w:pPr>
        <w:spacing w:line="600" w:lineRule="exact"/>
        <w:ind w:firstLine="515" w:firstLineChars="161"/>
        <w:rPr>
          <w:rFonts w:ascii="仿宋" w:hAnsi="仿宋" w:eastAsia="仿宋" w:cs="Times New Roman"/>
          <w:bCs/>
          <w:kern w:val="21"/>
          <w:sz w:val="32"/>
          <w:szCs w:val="32"/>
        </w:rPr>
      </w:pPr>
      <w:r>
        <w:rPr>
          <w:rFonts w:hint="eastAsia" w:ascii="仿宋" w:hAnsi="仿宋" w:eastAsia="仿宋" w:cs="Times New Roman"/>
          <w:bCs/>
          <w:kern w:val="21"/>
          <w:sz w:val="32"/>
          <w:szCs w:val="32"/>
        </w:rPr>
        <w:t>（10）评查庭审折算标准：3件折抵1件二审案件。</w:t>
      </w:r>
    </w:p>
    <w:p>
      <w:pPr>
        <w:spacing w:line="570" w:lineRule="exact"/>
        <w:ind w:firstLine="640" w:firstLineChars="200"/>
        <w:rPr>
          <w:rFonts w:ascii="Times New Roman" w:hAnsi="Times New Roman" w:eastAsia="仿宋_GB2312" w:cs="Times New Roman"/>
          <w:bCs/>
          <w:sz w:val="32"/>
          <w:szCs w:val="32"/>
        </w:rPr>
      </w:pPr>
    </w:p>
    <w:p>
      <w:pPr>
        <w:spacing w:line="570" w:lineRule="exact"/>
        <w:ind w:firstLine="640" w:firstLineChars="200"/>
        <w:rPr>
          <w:rFonts w:ascii="Times New Roman" w:hAnsi="Times New Roman" w:eastAsia="仿宋_GB2312" w:cs="Times New Roman"/>
          <w:bCs/>
          <w:sz w:val="32"/>
          <w:szCs w:val="32"/>
        </w:rPr>
      </w:pPr>
    </w:p>
    <w:p>
      <w:pPr>
        <w:spacing w:line="600" w:lineRule="exact"/>
        <w:ind w:firstLine="515" w:firstLineChars="161"/>
        <w:rPr>
          <w:rFonts w:ascii="仿宋" w:hAnsi="仿宋" w:eastAsia="仿宋" w:cs="Times New Roman"/>
          <w:bCs/>
          <w:kern w:val="21"/>
          <w:sz w:val="32"/>
          <w:szCs w:val="32"/>
        </w:rPr>
      </w:pPr>
    </w:p>
    <w:p>
      <w:pPr>
        <w:spacing w:line="570" w:lineRule="exact"/>
        <w:ind w:firstLine="640" w:firstLineChars="200"/>
        <w:rPr>
          <w:rFonts w:ascii="Times New Roman" w:hAnsi="Times New Roman" w:eastAsia="仿宋_GB2312" w:cs="Times New Roman"/>
          <w:bCs/>
          <w:sz w:val="32"/>
          <w:szCs w:val="32"/>
        </w:rPr>
      </w:pPr>
    </w:p>
    <w:p>
      <w:pPr>
        <w:spacing w:line="570" w:lineRule="exact"/>
        <w:ind w:firstLine="640" w:firstLineChars="200"/>
        <w:rPr>
          <w:rFonts w:ascii="Times New Roman" w:hAnsi="Times New Roman" w:eastAsia="仿宋_GB2312" w:cs="Times New Roman"/>
          <w:bCs/>
          <w:sz w:val="32"/>
          <w:szCs w:val="32"/>
        </w:rPr>
      </w:pPr>
    </w:p>
    <w:p>
      <w:pPr>
        <w:spacing w:line="570" w:lineRule="exact"/>
        <w:ind w:firstLine="640" w:firstLineChars="200"/>
        <w:rPr>
          <w:rFonts w:ascii="Times New Roman" w:hAnsi="Times New Roman" w:eastAsia="仿宋_GB2312" w:cs="Times New Roman"/>
          <w:bCs/>
          <w:sz w:val="32"/>
          <w:szCs w:val="32"/>
        </w:rPr>
      </w:pPr>
    </w:p>
    <w:p>
      <w:pPr>
        <w:spacing w:line="600" w:lineRule="exact"/>
        <w:rPr>
          <w:rFonts w:ascii="宋体" w:hAnsi="宋体" w:eastAsia="宋体" w:cs="Times New Roman"/>
          <w:b/>
          <w:sz w:val="44"/>
          <w:szCs w:val="44"/>
        </w:rPr>
      </w:pPr>
    </w:p>
    <w:p>
      <w:pPr>
        <w:spacing w:line="600" w:lineRule="exact"/>
        <w:ind w:firstLine="515" w:firstLineChars="161"/>
        <w:rPr>
          <w:rFonts w:ascii="仿宋" w:hAnsi="仿宋" w:eastAsia="仿宋" w:cs="Times New Roman"/>
          <w:bCs/>
          <w:kern w:val="21"/>
          <w:sz w:val="32"/>
          <w:szCs w:val="32"/>
        </w:rPr>
      </w:pPr>
    </w:p>
    <w:p>
      <w:pPr>
        <w:spacing w:line="600" w:lineRule="exact"/>
        <w:ind w:firstLine="515" w:firstLineChars="161"/>
        <w:rPr>
          <w:rFonts w:ascii="仿宋" w:hAnsi="仿宋" w:eastAsia="仿宋" w:cs="Times New Roman"/>
          <w:bCs/>
          <w:kern w:val="21"/>
          <w:sz w:val="32"/>
          <w:szCs w:val="32"/>
        </w:rPr>
      </w:pPr>
    </w:p>
    <w:p>
      <w:pPr>
        <w:spacing w:line="600" w:lineRule="exact"/>
        <w:ind w:firstLine="515" w:firstLineChars="161"/>
        <w:rPr>
          <w:rFonts w:ascii="仿宋" w:hAnsi="仿宋" w:eastAsia="仿宋" w:cs="Times New Roman"/>
          <w:bCs/>
          <w:kern w:val="21"/>
          <w:sz w:val="32"/>
          <w:szCs w:val="32"/>
        </w:rPr>
      </w:pPr>
    </w:p>
    <w:p>
      <w:pPr>
        <w:spacing w:line="600" w:lineRule="exact"/>
        <w:rPr>
          <w:rFonts w:ascii="仿宋" w:hAnsi="仿宋" w:eastAsia="仿宋" w:cs="Times New Roman"/>
          <w:bCs/>
          <w:kern w:val="21"/>
          <w:sz w:val="32"/>
          <w:szCs w:val="32"/>
        </w:rPr>
        <w:sectPr>
          <w:pgSz w:w="11906" w:h="16838"/>
          <w:pgMar w:top="1134" w:right="1361" w:bottom="1134" w:left="1361" w:header="851" w:footer="992" w:gutter="0"/>
          <w:cols w:space="720" w:num="1"/>
          <w:docGrid w:type="lines" w:linePitch="312" w:charSpace="0"/>
        </w:sectPr>
      </w:pPr>
    </w:p>
    <w:tbl>
      <w:tblPr>
        <w:tblStyle w:val="6"/>
        <w:tblpPr w:leftFromText="180" w:rightFromText="180" w:vertAnchor="text" w:horzAnchor="page" w:tblpX="1100" w:tblpY="179"/>
        <w:tblOverlap w:val="never"/>
        <w:tblW w:w="14620" w:type="dxa"/>
        <w:tblInd w:w="0" w:type="dxa"/>
        <w:tblLayout w:type="autofit"/>
        <w:tblCellMar>
          <w:top w:w="0" w:type="dxa"/>
          <w:left w:w="0" w:type="dxa"/>
          <w:bottom w:w="0" w:type="dxa"/>
          <w:right w:w="0" w:type="dxa"/>
        </w:tblCellMar>
      </w:tblPr>
      <w:tblGrid>
        <w:gridCol w:w="1459"/>
        <w:gridCol w:w="9277"/>
        <w:gridCol w:w="2036"/>
        <w:gridCol w:w="1848"/>
      </w:tblGrid>
      <w:tr>
        <w:tblPrEx>
          <w:tblCellMar>
            <w:top w:w="0" w:type="dxa"/>
            <w:left w:w="0" w:type="dxa"/>
            <w:bottom w:w="0" w:type="dxa"/>
            <w:right w:w="0" w:type="dxa"/>
          </w:tblCellMar>
        </w:tblPrEx>
        <w:trPr>
          <w:trHeight w:val="1070" w:hRule="atLeast"/>
        </w:trPr>
        <w:tc>
          <w:tcPr>
            <w:tcW w:w="14620" w:type="dxa"/>
            <w:gridSpan w:val="4"/>
            <w:tcBorders>
              <w:top w:val="nil"/>
              <w:left w:val="nil"/>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36"/>
                <w:szCs w:val="36"/>
              </w:rPr>
            </w:pPr>
            <w:r>
              <w:rPr>
                <w:rStyle w:val="14"/>
                <w:rFonts w:hint="default"/>
                <w:b/>
                <w:bCs/>
                <w:sz w:val="24"/>
                <w:szCs w:val="24"/>
              </w:rPr>
              <w:t>附件4</w:t>
            </w:r>
            <w:r>
              <w:rPr>
                <w:rStyle w:val="15"/>
              </w:rPr>
              <w:t xml:space="preserve">   </w:t>
            </w:r>
            <w:r>
              <w:rPr>
                <w:rStyle w:val="16"/>
                <w:rFonts w:hint="default"/>
              </w:rPr>
              <w:t xml:space="preserve"> </w:t>
            </w:r>
            <w:r>
              <w:rPr>
                <w:rStyle w:val="17"/>
                <w:rFonts w:hint="default"/>
              </w:rPr>
              <w:t xml:space="preserve">         2022年度业务工作“精品工程”考核标准</w:t>
            </w:r>
          </w:p>
        </w:tc>
      </w:tr>
      <w:tr>
        <w:tblPrEx>
          <w:tblCellMar>
            <w:top w:w="0" w:type="dxa"/>
            <w:left w:w="0" w:type="dxa"/>
            <w:bottom w:w="0" w:type="dxa"/>
            <w:right w:w="0" w:type="dxa"/>
          </w:tblCellMar>
        </w:tblPrEx>
        <w:trPr>
          <w:trHeight w:val="494" w:hRule="atLeast"/>
        </w:trPr>
        <w:tc>
          <w:tcPr>
            <w:tcW w:w="14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考核指标</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考核标准</w:t>
            </w:r>
          </w:p>
        </w:tc>
        <w:tc>
          <w:tcPr>
            <w:tcW w:w="18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考核成员部门</w:t>
            </w:r>
          </w:p>
        </w:tc>
      </w:tr>
      <w:tr>
        <w:tblPrEx>
          <w:tblCellMar>
            <w:top w:w="0" w:type="dxa"/>
            <w:left w:w="0" w:type="dxa"/>
            <w:bottom w:w="0" w:type="dxa"/>
            <w:right w:w="0" w:type="dxa"/>
          </w:tblCellMar>
        </w:tblPrEx>
        <w:trPr>
          <w:trHeight w:val="513" w:hRule="atLeast"/>
        </w:trPr>
        <w:tc>
          <w:tcPr>
            <w:tcW w:w="14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一、司法改革</w:t>
            </w:r>
          </w:p>
        </w:tc>
        <w:tc>
          <w:tcPr>
            <w:tcW w:w="9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1.改革成果被中央深改办信息采用</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每篇计3分</w:t>
            </w:r>
          </w:p>
        </w:tc>
        <w:tc>
          <w:tcPr>
            <w:tcW w:w="184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研究室</w:t>
            </w:r>
          </w:p>
        </w:tc>
      </w:tr>
      <w:tr>
        <w:tblPrEx>
          <w:tblCellMar>
            <w:top w:w="0" w:type="dxa"/>
            <w:left w:w="0" w:type="dxa"/>
            <w:bottom w:w="0" w:type="dxa"/>
            <w:right w:w="0" w:type="dxa"/>
          </w:tblCellMar>
        </w:tblPrEx>
        <w:trPr>
          <w:trHeight w:val="513"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2.改革成果被《人民法院司法改革案例选编》采用</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每篇计2.5分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513"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3.改革成果被最高人民法院《司法改革动态》采用</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每篇计2分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513"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4.改革成果被省委改革《调研专报》采用</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每篇计1分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513"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5.改革成果被省委改革办《吉林改革工作》采用</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每篇计1分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513"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6.改革成果被《全省法院司法改革精品案例》采用</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每篇计1分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513"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7.改革成果被省高院《司改动态》采用</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每篇计0.8分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635"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8.司法改革工作成果被上述载体刊载并获得最高人民法院院长、省委书记、省长肯定性批示</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在上述载体计分基础上加1分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635"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9.司法改革工作成果被上述载体刊载并获得省委政法委书记、省高院院长肯定性批示</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在上述载体计分基础上加0.5分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513"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10.司法改革工作成果获得最高人民法院院长、省委书记、省长肯定性批示</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每次计1分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513"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11.司法改革工作成果获省委政法委书记、省高院院长肯定性批示</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每次计0.5分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943" w:hRule="atLeast"/>
        </w:trPr>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二、司法研究</w:t>
            </w:r>
          </w:p>
        </w:tc>
        <w:tc>
          <w:tcPr>
            <w:tcW w:w="9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1.完成中央政法委、最高人民法院等组织的综合性重点调研课题并通过结项验收</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优秀计3分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良好计2.5分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合格计2分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943" w:hRule="atLeast"/>
        </w:trPr>
        <w:tc>
          <w:tcPr>
            <w:tcW w:w="14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三、司法研究</w:t>
            </w:r>
          </w:p>
        </w:tc>
        <w:tc>
          <w:tcPr>
            <w:tcW w:w="9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2.完成中央政法委、最高人民法院等组织的专项调研课题并通过结项验收</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优秀计2分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良好计1.5分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合格计1分</w:t>
            </w:r>
          </w:p>
        </w:tc>
        <w:tc>
          <w:tcPr>
            <w:tcW w:w="184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研究室</w:t>
            </w:r>
          </w:p>
        </w:tc>
      </w:tr>
      <w:tr>
        <w:tblPrEx>
          <w:tblCellMar>
            <w:top w:w="0" w:type="dxa"/>
            <w:left w:w="0" w:type="dxa"/>
            <w:bottom w:w="0" w:type="dxa"/>
            <w:right w:w="0" w:type="dxa"/>
          </w:tblCellMar>
        </w:tblPrEx>
        <w:trPr>
          <w:trHeight w:val="943"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3.完成中国法学会组织的调研课题并通过结项验收</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优秀计2分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良好计1.5分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合格计1分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1002"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4.完成最高人民法院内设机构组织的业务条线调研课题并通过结项验收</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优秀计1.5分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良好计1分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合格计0.8分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943"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5.完成中国法学会审判理论研究会组织的调研课题并通过结项验收</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优秀计1.5分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良好计1分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合格计0.8分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939"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6.完成省委政法委组织的全省政法系统优秀调研成果评选并通过结项验收</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优秀计1分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良好计0.8分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合格计0.5分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1080"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7.完成省高院组织的年度司法研究课题并通过结项验收</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优秀计1分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良好计0.8分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合格计0.5分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1002"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8.完成省法学会组织的年度法学课题研究并通过结项验收</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优秀计1分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良好计0.8分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合格计0.5分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513"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9.出版发行法学理论研究专著</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每部计3分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1276"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10.学术论文在全国法院论文评比中获奖</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一等奖计1.5分              二等奖计1分               三等奖计0.8分            优秀奖计0.5分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513"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11.理论文章（含案例）在《中国审判》《人民司法》《法律适用》社科类中文核心期刊上发表</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每篇计1分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513"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12.在《人民日报》《人民法院报》理论版发表文章</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每篇计0.5分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1244"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13.学术论文在最高人民法院内设机构或中国法学会审判理论研究会组织的专项论文评比中获奖</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一等奖计1分                二等奖计0.8分             三等奖计0.5分            优秀奖计0.3分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513"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14.在《吉林日报》《北方法制报》等省内报刊杂志理论版发表文章</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每篇计0.2分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670" w:hRule="atLeast"/>
        </w:trPr>
        <w:tc>
          <w:tcPr>
            <w:tcW w:w="14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四、司法研究</w:t>
            </w:r>
          </w:p>
        </w:tc>
        <w:tc>
          <w:tcPr>
            <w:tcW w:w="9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15.针对司法审判实践反映的突出问题撰写专题调研报告获得最高人民法院院长、省委书记肯定性批示</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每篇计1分</w:t>
            </w:r>
          </w:p>
        </w:tc>
        <w:tc>
          <w:tcPr>
            <w:tcW w:w="184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研究室</w:t>
            </w:r>
          </w:p>
        </w:tc>
      </w:tr>
      <w:tr>
        <w:tblPrEx>
          <w:tblCellMar>
            <w:top w:w="0" w:type="dxa"/>
            <w:left w:w="0" w:type="dxa"/>
            <w:bottom w:w="0" w:type="dxa"/>
            <w:right w:w="0" w:type="dxa"/>
          </w:tblCellMar>
        </w:tblPrEx>
        <w:trPr>
          <w:trHeight w:val="670"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16.针对司法审判实践反映的突出问题撰写专题调研报告获得省委政法委书记、省高院院长肯定性批示</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每篇计0.5分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513" w:hRule="atLeast"/>
        </w:trPr>
        <w:tc>
          <w:tcPr>
            <w:tcW w:w="14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五、审判案例</w:t>
            </w:r>
          </w:p>
        </w:tc>
        <w:tc>
          <w:tcPr>
            <w:tcW w:w="9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1.案例入选最高人民法院指导性案例</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每篇计3分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513"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2.案例入选最高人民法院公报案例</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每篇计2.5分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1432"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3.案例在全国法院系统年度优秀案例分析中获奖</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一等奖计2分                二等奖计1.5分             三等奖计1分               优秀奖计0.8分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513"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4.案例入选《人民法院案例选》《中国法院年度案例》《中国审判案例要览》</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每篇计2分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513"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5.案例入选最高人民法院公布的专项案例</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每篇计1.5分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1244"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6.案例在最高人民法院各业务条线组织的案例评选中获奖</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一等奖计1分                二等奖计0.8分             三等奖计0.5分            优秀奖计0.3分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513"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7.案例入选省高院参考性案例</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每篇计1.5分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513"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8.案例入选全省法院年度优秀案例</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每篇计1分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513"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9.案例入选省高院公布的典型案例</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每篇计0.8分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513"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10.案例入选省高院公布的专项案例</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每篇计0.5分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513" w:hRule="atLeast"/>
        </w:trPr>
        <w:tc>
          <w:tcPr>
            <w:tcW w:w="14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六、司法建议</w:t>
            </w:r>
          </w:p>
        </w:tc>
        <w:tc>
          <w:tcPr>
            <w:tcW w:w="9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1.入选年度优秀司法建议</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每篇计1分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553"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2.司法建议获得省委书记、省长肯定性批示且入选年度优秀司法建议</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每篇计2分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513"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3.司法建议获得市委书记、市长肯定性批示且入选年度优秀司法建议</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每篇计1.5分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572"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4.司法建议获得省委书记、省长肯定性批示</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每篇计1分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533"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5.司法建议获得省委政法委书记、省高院院长肯定性批示</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每篇计0.5分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611"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6.司法建议获得市委书记、市长肯定性批示</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每篇计0.5分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513" w:hRule="atLeast"/>
        </w:trPr>
        <w:tc>
          <w:tcPr>
            <w:tcW w:w="14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七、裁判文书</w:t>
            </w:r>
          </w:p>
        </w:tc>
        <w:tc>
          <w:tcPr>
            <w:tcW w:w="9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1.裁判文书入选全国法院百篇优秀裁判文书</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每篇计4分</w:t>
            </w:r>
          </w:p>
        </w:tc>
        <w:tc>
          <w:tcPr>
            <w:tcW w:w="184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审管办</w:t>
            </w:r>
          </w:p>
        </w:tc>
      </w:tr>
      <w:tr>
        <w:tblPrEx>
          <w:tblCellMar>
            <w:top w:w="0" w:type="dxa"/>
            <w:left w:w="0" w:type="dxa"/>
            <w:bottom w:w="0" w:type="dxa"/>
            <w:right w:w="0" w:type="dxa"/>
          </w:tblCellMar>
        </w:tblPrEx>
        <w:trPr>
          <w:trHeight w:val="1002"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2.裁判文书在全国法院评比中获奖</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一等奖计3.5分             二等奖计3分               三等奖计2.5分           </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939"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3.裁判文书在全省法院评比中获奖</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一等奖计3分               二等奖计2.5分             三等奖计2分       </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513" w:hRule="atLeast"/>
        </w:trPr>
        <w:tc>
          <w:tcPr>
            <w:tcW w:w="14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八、庭审</w:t>
            </w:r>
          </w:p>
        </w:tc>
        <w:tc>
          <w:tcPr>
            <w:tcW w:w="9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1.庭审入选全国法院百场优秀庭审</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每场计4分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939"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2.庭审在全国法院评比中获奖</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一等奖计3.5分             二等奖计3分               三等奖计2.5分           </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1022"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3.庭审在全省法院评比中获奖</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一等奖计3分                二等奖计2.5分             三等奖计2分       </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1244" w:hRule="atLeast"/>
        </w:trPr>
        <w:tc>
          <w:tcPr>
            <w:tcW w:w="145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九、智慧法院</w:t>
            </w:r>
          </w:p>
        </w:tc>
        <w:tc>
          <w:tcPr>
            <w:tcW w:w="9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1.在国家级相关评选表彰中获奖</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一等奖计3.5分             二等奖计3分                三等奖计2.5分             优秀奖计2分</w:t>
            </w:r>
          </w:p>
        </w:tc>
        <w:tc>
          <w:tcPr>
            <w:tcW w:w="184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审管办</w:t>
            </w:r>
          </w:p>
        </w:tc>
      </w:tr>
      <w:tr>
        <w:tblPrEx>
          <w:tblCellMar>
            <w:top w:w="0" w:type="dxa"/>
            <w:left w:w="0" w:type="dxa"/>
            <w:bottom w:w="0" w:type="dxa"/>
            <w:right w:w="0" w:type="dxa"/>
          </w:tblCellMar>
        </w:tblPrEx>
        <w:trPr>
          <w:trHeight w:val="513"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2.在中央层面会议上被推广</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每次计3分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513"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3.获得中央领导肯定性批示</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每次计2.5分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513"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4.在最高人民法院综合性会议上做经验介绍并在全国推广</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每次计2.5分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435"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5.获得最高人民法院院长肯定性批示</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每次计2分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513"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6.最高人民法院专项会议上做经验介绍并在全国推广</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每次计2分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1244"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7.在省级相关评选表彰中获奖</w:t>
            </w:r>
          </w:p>
        </w:tc>
        <w:tc>
          <w:tcPr>
            <w:tcW w:w="2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一等奖计2分                二等奖计1.5分              三等奖计1分                优秀奖计0.5分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513"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8.在省级综合性会议上做经验介绍并在全省推广</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每次计2分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513"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9.获得省委书记、省长肯定性批示</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每次计2分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513"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10.在省级专项会议上做经验介绍并在全省推广</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每次计1.5分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523"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szCs w:val="22"/>
              </w:rPr>
            </w:pPr>
          </w:p>
        </w:tc>
        <w:tc>
          <w:tcPr>
            <w:tcW w:w="9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11.获得省部级领导肯定性批示</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每次计1分</w:t>
            </w:r>
          </w:p>
        </w:tc>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bl>
    <w:p>
      <w:pPr>
        <w:spacing w:line="600" w:lineRule="exact"/>
        <w:rPr>
          <w:rFonts w:ascii="仿宋" w:hAnsi="仿宋" w:eastAsia="仿宋" w:cs="Times New Roman"/>
          <w:bCs/>
          <w:kern w:val="21"/>
          <w:sz w:val="32"/>
          <w:szCs w:val="32"/>
        </w:rPr>
      </w:pPr>
    </w:p>
    <w:p>
      <w:pPr>
        <w:spacing w:line="600" w:lineRule="exact"/>
        <w:rPr>
          <w:rFonts w:ascii="仿宋" w:hAnsi="仿宋" w:eastAsia="仿宋" w:cs="Times New Roman"/>
          <w:bCs/>
          <w:kern w:val="21"/>
          <w:sz w:val="32"/>
          <w:szCs w:val="32"/>
        </w:rPr>
      </w:pPr>
    </w:p>
    <w:p>
      <w:pPr>
        <w:spacing w:line="600" w:lineRule="exact"/>
        <w:rPr>
          <w:rFonts w:ascii="仿宋" w:hAnsi="仿宋" w:eastAsia="仿宋" w:cs="Times New Roman"/>
          <w:bCs/>
          <w:kern w:val="21"/>
          <w:sz w:val="32"/>
          <w:szCs w:val="32"/>
        </w:rPr>
      </w:pPr>
    </w:p>
    <w:p>
      <w:pPr>
        <w:spacing w:line="600" w:lineRule="exact"/>
        <w:rPr>
          <w:rFonts w:ascii="仿宋" w:hAnsi="仿宋" w:eastAsia="仿宋" w:cs="Times New Roman"/>
          <w:bCs/>
          <w:kern w:val="21"/>
          <w:sz w:val="32"/>
          <w:szCs w:val="32"/>
        </w:rPr>
      </w:pPr>
    </w:p>
    <w:tbl>
      <w:tblPr>
        <w:tblStyle w:val="6"/>
        <w:tblpPr w:leftFromText="180" w:rightFromText="180" w:vertAnchor="text" w:horzAnchor="page" w:tblpX="1175" w:tblpY="306"/>
        <w:tblOverlap w:val="never"/>
        <w:tblW w:w="4993" w:type="pct"/>
        <w:tblInd w:w="0" w:type="dxa"/>
        <w:tblLayout w:type="autofit"/>
        <w:tblCellMar>
          <w:top w:w="15" w:type="dxa"/>
          <w:left w:w="15" w:type="dxa"/>
          <w:bottom w:w="15" w:type="dxa"/>
          <w:right w:w="15" w:type="dxa"/>
        </w:tblCellMar>
      </w:tblPr>
      <w:tblGrid>
        <w:gridCol w:w="1620"/>
        <w:gridCol w:w="7363"/>
        <w:gridCol w:w="2272"/>
        <w:gridCol w:w="1196"/>
        <w:gridCol w:w="2129"/>
      </w:tblGrid>
      <w:tr>
        <w:tblPrEx>
          <w:tblCellMar>
            <w:top w:w="15" w:type="dxa"/>
            <w:left w:w="15" w:type="dxa"/>
            <w:bottom w:w="15" w:type="dxa"/>
            <w:right w:w="15" w:type="dxa"/>
          </w:tblCellMar>
        </w:tblPrEx>
        <w:trPr>
          <w:trHeight w:val="300" w:hRule="atLeast"/>
        </w:trPr>
        <w:tc>
          <w:tcPr>
            <w:tcW w:w="556" w:type="pct"/>
            <w:vAlign w:val="center"/>
          </w:tcPr>
          <w:p>
            <w:pPr>
              <w:widowControl/>
              <w:jc w:val="left"/>
              <w:textAlignment w:val="center"/>
              <w:rPr>
                <w:rFonts w:ascii="宋体" w:hAnsi="宋体" w:cs="宋体"/>
                <w:b/>
                <w:sz w:val="24"/>
              </w:rPr>
            </w:pPr>
            <w:r>
              <w:rPr>
                <w:rFonts w:hint="eastAsia" w:ascii="宋体" w:hAnsi="宋体" w:cs="宋体"/>
                <w:b/>
                <w:sz w:val="24"/>
              </w:rPr>
              <w:t>附件5</w:t>
            </w:r>
          </w:p>
        </w:tc>
        <w:tc>
          <w:tcPr>
            <w:tcW w:w="2525" w:type="pct"/>
            <w:vAlign w:val="center"/>
          </w:tcPr>
          <w:p>
            <w:pPr>
              <w:rPr>
                <w:rFonts w:ascii="宋体" w:hAnsi="宋体" w:cs="宋体"/>
                <w:sz w:val="24"/>
              </w:rPr>
            </w:pPr>
          </w:p>
        </w:tc>
        <w:tc>
          <w:tcPr>
            <w:tcW w:w="779" w:type="pct"/>
            <w:vAlign w:val="center"/>
          </w:tcPr>
          <w:p>
            <w:pPr>
              <w:rPr>
                <w:rFonts w:ascii="宋体" w:hAnsi="宋体" w:cs="宋体"/>
                <w:sz w:val="24"/>
              </w:rPr>
            </w:pPr>
          </w:p>
        </w:tc>
        <w:tc>
          <w:tcPr>
            <w:tcW w:w="410" w:type="pct"/>
            <w:vAlign w:val="center"/>
          </w:tcPr>
          <w:p>
            <w:pPr>
              <w:rPr>
                <w:rFonts w:ascii="宋体" w:hAnsi="宋体" w:cs="宋体"/>
                <w:sz w:val="24"/>
              </w:rPr>
            </w:pPr>
          </w:p>
        </w:tc>
        <w:tc>
          <w:tcPr>
            <w:tcW w:w="730" w:type="pct"/>
            <w:vAlign w:val="center"/>
          </w:tcPr>
          <w:p>
            <w:pPr>
              <w:rPr>
                <w:rFonts w:ascii="宋体" w:hAnsi="宋体" w:cs="宋体"/>
                <w:sz w:val="24"/>
              </w:rPr>
            </w:pPr>
          </w:p>
        </w:tc>
      </w:tr>
      <w:tr>
        <w:tblPrEx>
          <w:tblCellMar>
            <w:top w:w="15" w:type="dxa"/>
            <w:left w:w="15" w:type="dxa"/>
            <w:bottom w:w="15" w:type="dxa"/>
            <w:right w:w="15" w:type="dxa"/>
          </w:tblCellMar>
        </w:tblPrEx>
        <w:trPr>
          <w:trHeight w:val="90" w:hRule="atLeast"/>
        </w:trPr>
        <w:tc>
          <w:tcPr>
            <w:tcW w:w="5000" w:type="pct"/>
            <w:gridSpan w:val="5"/>
            <w:vAlign w:val="center"/>
          </w:tcPr>
          <w:p>
            <w:pPr>
              <w:widowControl/>
              <w:jc w:val="center"/>
              <w:textAlignment w:val="center"/>
              <w:rPr>
                <w:rFonts w:ascii="宋体" w:hAnsi="宋体" w:cs="宋体"/>
                <w:b/>
                <w:sz w:val="48"/>
                <w:szCs w:val="48"/>
              </w:rPr>
            </w:pPr>
            <w:r>
              <w:rPr>
                <w:rFonts w:hint="eastAsia" w:ascii="宋体" w:hAnsi="宋体" w:cs="宋体"/>
                <w:b/>
                <w:kern w:val="0"/>
                <w:sz w:val="48"/>
                <w:szCs w:val="48"/>
              </w:rPr>
              <w:t>大安市人民法院2022年度绩效考核加分标准</w:t>
            </w:r>
          </w:p>
        </w:tc>
      </w:tr>
      <w:tr>
        <w:tblPrEx>
          <w:tblCellMar>
            <w:top w:w="15" w:type="dxa"/>
            <w:left w:w="15" w:type="dxa"/>
            <w:bottom w:w="15" w:type="dxa"/>
            <w:right w:w="15" w:type="dxa"/>
          </w:tblCellMar>
        </w:tblPrEx>
        <w:trPr>
          <w:trHeight w:val="907" w:hRule="atLeast"/>
        </w:trPr>
        <w:tc>
          <w:tcPr>
            <w:tcW w:w="556" w:type="pct"/>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cs="宋体"/>
                <w:b/>
                <w:sz w:val="24"/>
              </w:rPr>
            </w:pPr>
            <w:r>
              <w:rPr>
                <w:rFonts w:hint="eastAsia" w:ascii="宋体" w:hAnsi="宋体" w:cs="宋体"/>
                <w:b/>
                <w:kern w:val="0"/>
                <w:sz w:val="24"/>
              </w:rPr>
              <w:t>考核项目</w:t>
            </w:r>
          </w:p>
        </w:tc>
        <w:tc>
          <w:tcPr>
            <w:tcW w:w="25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4"/>
              </w:rPr>
            </w:pPr>
            <w:r>
              <w:rPr>
                <w:rFonts w:hint="eastAsia" w:ascii="宋体" w:hAnsi="宋体" w:cs="宋体"/>
                <w:b/>
                <w:kern w:val="0"/>
                <w:sz w:val="24"/>
              </w:rPr>
              <w:t>考核标准及分值设定</w:t>
            </w:r>
          </w:p>
        </w:tc>
        <w:tc>
          <w:tcPr>
            <w:tcW w:w="77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4"/>
              </w:rPr>
            </w:pPr>
            <w:r>
              <w:rPr>
                <w:rFonts w:hint="eastAsia" w:ascii="宋体" w:hAnsi="宋体" w:cs="宋体"/>
                <w:b/>
                <w:kern w:val="0"/>
                <w:sz w:val="24"/>
              </w:rPr>
              <w:t>加分标准</w:t>
            </w:r>
          </w:p>
        </w:tc>
        <w:tc>
          <w:tcPr>
            <w:tcW w:w="41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4"/>
              </w:rPr>
            </w:pPr>
            <w:r>
              <w:rPr>
                <w:rFonts w:hint="eastAsia" w:ascii="宋体" w:hAnsi="宋体" w:cs="宋体"/>
                <w:b/>
                <w:kern w:val="0"/>
                <w:sz w:val="24"/>
              </w:rPr>
              <w:t>考核成员单位</w:t>
            </w:r>
          </w:p>
        </w:tc>
        <w:tc>
          <w:tcPr>
            <w:tcW w:w="73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4"/>
              </w:rPr>
            </w:pPr>
            <w:r>
              <w:rPr>
                <w:rFonts w:hint="eastAsia" w:ascii="宋体" w:hAnsi="宋体" w:cs="宋体"/>
                <w:b/>
                <w:kern w:val="0"/>
                <w:sz w:val="24"/>
              </w:rPr>
              <w:t>备注</w:t>
            </w:r>
          </w:p>
        </w:tc>
      </w:tr>
      <w:tr>
        <w:tblPrEx>
          <w:tblCellMar>
            <w:top w:w="15" w:type="dxa"/>
            <w:left w:w="15" w:type="dxa"/>
            <w:bottom w:w="15" w:type="dxa"/>
            <w:right w:w="15" w:type="dxa"/>
          </w:tblCellMar>
        </w:tblPrEx>
        <w:trPr>
          <w:trHeight w:val="422" w:hRule="atLeast"/>
        </w:trPr>
        <w:tc>
          <w:tcPr>
            <w:tcW w:w="55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4"/>
              </w:rPr>
            </w:pPr>
            <w:r>
              <w:rPr>
                <w:rFonts w:hint="eastAsia" w:ascii="宋体" w:hAnsi="宋体" w:cs="宋体"/>
                <w:b/>
                <w:kern w:val="0"/>
                <w:sz w:val="24"/>
              </w:rPr>
              <w:t>一、获得表彰奖励</w:t>
            </w:r>
          </w:p>
        </w:tc>
        <w:tc>
          <w:tcPr>
            <w:tcW w:w="2525"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textAlignment w:val="center"/>
              <w:rPr>
                <w:rFonts w:ascii="宋体" w:hAnsi="宋体" w:cs="宋体"/>
                <w:sz w:val="22"/>
                <w:szCs w:val="22"/>
              </w:rPr>
            </w:pPr>
            <w:r>
              <w:rPr>
                <w:rFonts w:hint="eastAsia" w:ascii="宋体" w:hAnsi="宋体" w:cs="宋体"/>
                <w:kern w:val="0"/>
                <w:sz w:val="22"/>
                <w:szCs w:val="22"/>
              </w:rPr>
              <w:t>1.受到党中央、国务院表彰奖励的</w:t>
            </w:r>
          </w:p>
        </w:tc>
        <w:tc>
          <w:tcPr>
            <w:tcW w:w="779"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cs="宋体"/>
                <w:sz w:val="22"/>
                <w:szCs w:val="22"/>
              </w:rPr>
            </w:pPr>
            <w:r>
              <w:rPr>
                <w:rFonts w:hint="eastAsia" w:ascii="宋体" w:hAnsi="宋体" w:cs="宋体"/>
                <w:kern w:val="0"/>
                <w:sz w:val="22"/>
                <w:szCs w:val="22"/>
              </w:rPr>
              <w:t>加2分</w:t>
            </w:r>
          </w:p>
        </w:tc>
        <w:tc>
          <w:tcPr>
            <w:tcW w:w="410"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cs="宋体"/>
                <w:kern w:val="0"/>
                <w:sz w:val="22"/>
                <w:szCs w:val="22"/>
              </w:rPr>
            </w:pPr>
            <w:r>
              <w:rPr>
                <w:rFonts w:hint="eastAsia" w:ascii="宋体" w:hAnsi="宋体" w:cs="宋体"/>
                <w:kern w:val="0"/>
                <w:sz w:val="22"/>
                <w:szCs w:val="22"/>
              </w:rPr>
              <w:t>宣教处</w:t>
            </w:r>
          </w:p>
        </w:tc>
        <w:tc>
          <w:tcPr>
            <w:tcW w:w="73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2"/>
                <w:szCs w:val="22"/>
              </w:rPr>
            </w:pPr>
            <w:r>
              <w:rPr>
                <w:rFonts w:hint="eastAsia" w:ascii="宋体" w:hAnsi="宋体" w:cs="宋体"/>
                <w:kern w:val="0"/>
                <w:sz w:val="22"/>
                <w:szCs w:val="22"/>
              </w:rPr>
              <w:t>个人获得表彰奖励的参照此标准执行。</w:t>
            </w:r>
          </w:p>
        </w:tc>
      </w:tr>
      <w:tr>
        <w:tblPrEx>
          <w:tblCellMar>
            <w:top w:w="15" w:type="dxa"/>
            <w:left w:w="15" w:type="dxa"/>
            <w:bottom w:w="15" w:type="dxa"/>
            <w:right w:w="15" w:type="dxa"/>
          </w:tblCellMar>
        </w:tblPrEx>
        <w:trPr>
          <w:trHeight w:val="490" w:hRule="atLeast"/>
        </w:trPr>
        <w:tc>
          <w:tcPr>
            <w:tcW w:w="55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 w:val="24"/>
              </w:rPr>
            </w:pPr>
          </w:p>
        </w:tc>
        <w:tc>
          <w:tcPr>
            <w:tcW w:w="2525"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textAlignment w:val="center"/>
              <w:rPr>
                <w:rFonts w:ascii="宋体" w:hAnsi="宋体" w:cs="宋体"/>
                <w:sz w:val="22"/>
                <w:szCs w:val="22"/>
              </w:rPr>
            </w:pPr>
            <w:r>
              <w:rPr>
                <w:rFonts w:hint="eastAsia" w:ascii="宋体" w:hAnsi="宋体" w:cs="宋体"/>
                <w:kern w:val="0"/>
                <w:sz w:val="22"/>
                <w:szCs w:val="22"/>
              </w:rPr>
              <w:t>2.受到党中央、国务院通报表扬的</w:t>
            </w:r>
          </w:p>
        </w:tc>
        <w:tc>
          <w:tcPr>
            <w:tcW w:w="779"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cs="宋体"/>
                <w:sz w:val="22"/>
                <w:szCs w:val="22"/>
              </w:rPr>
            </w:pPr>
            <w:r>
              <w:rPr>
                <w:rFonts w:hint="eastAsia" w:ascii="宋体" w:hAnsi="宋体" w:cs="宋体"/>
                <w:kern w:val="0"/>
                <w:sz w:val="22"/>
                <w:szCs w:val="22"/>
              </w:rPr>
              <w:t>加0.4分</w:t>
            </w:r>
          </w:p>
        </w:tc>
        <w:tc>
          <w:tcPr>
            <w:tcW w:w="41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textAlignment w:val="center"/>
              <w:rPr>
                <w:rFonts w:ascii="宋体" w:hAnsi="宋体" w:cs="宋体"/>
                <w:kern w:val="0"/>
                <w:sz w:val="22"/>
                <w:szCs w:val="22"/>
              </w:rPr>
            </w:pPr>
          </w:p>
        </w:tc>
        <w:tc>
          <w:tcPr>
            <w:tcW w:w="730"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2"/>
                <w:szCs w:val="22"/>
              </w:rPr>
            </w:pPr>
          </w:p>
        </w:tc>
      </w:tr>
      <w:tr>
        <w:tblPrEx>
          <w:tblCellMar>
            <w:top w:w="15" w:type="dxa"/>
            <w:left w:w="15" w:type="dxa"/>
            <w:bottom w:w="15" w:type="dxa"/>
            <w:right w:w="15" w:type="dxa"/>
          </w:tblCellMar>
        </w:tblPrEx>
        <w:trPr>
          <w:trHeight w:val="515" w:hRule="atLeast"/>
        </w:trPr>
        <w:tc>
          <w:tcPr>
            <w:tcW w:w="55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 w:val="24"/>
              </w:rPr>
            </w:pPr>
          </w:p>
        </w:tc>
        <w:tc>
          <w:tcPr>
            <w:tcW w:w="2525"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textAlignment w:val="center"/>
              <w:rPr>
                <w:rFonts w:ascii="宋体" w:hAnsi="宋体" w:cs="宋体"/>
                <w:sz w:val="22"/>
                <w:szCs w:val="22"/>
              </w:rPr>
            </w:pPr>
            <w:r>
              <w:rPr>
                <w:rFonts w:hint="eastAsia" w:ascii="宋体" w:hAnsi="宋体" w:cs="宋体"/>
                <w:kern w:val="0"/>
                <w:sz w:val="22"/>
                <w:szCs w:val="22"/>
              </w:rPr>
              <w:t>3.受到国家部委、省委省政府和最高院表彰奖励的</w:t>
            </w:r>
          </w:p>
        </w:tc>
        <w:tc>
          <w:tcPr>
            <w:tcW w:w="779"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cs="宋体"/>
                <w:sz w:val="22"/>
                <w:szCs w:val="22"/>
              </w:rPr>
            </w:pPr>
            <w:r>
              <w:rPr>
                <w:rFonts w:hint="eastAsia" w:ascii="宋体" w:hAnsi="宋体" w:cs="宋体"/>
                <w:kern w:val="0"/>
                <w:sz w:val="22"/>
                <w:szCs w:val="22"/>
              </w:rPr>
              <w:t>加1.5分</w:t>
            </w:r>
          </w:p>
        </w:tc>
        <w:tc>
          <w:tcPr>
            <w:tcW w:w="41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textAlignment w:val="center"/>
              <w:rPr>
                <w:rFonts w:ascii="宋体" w:hAnsi="宋体" w:cs="宋体"/>
                <w:kern w:val="0"/>
                <w:sz w:val="22"/>
                <w:szCs w:val="22"/>
              </w:rPr>
            </w:pPr>
          </w:p>
        </w:tc>
        <w:tc>
          <w:tcPr>
            <w:tcW w:w="730"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2"/>
                <w:szCs w:val="22"/>
              </w:rPr>
            </w:pPr>
          </w:p>
        </w:tc>
      </w:tr>
      <w:tr>
        <w:tblPrEx>
          <w:tblCellMar>
            <w:top w:w="15" w:type="dxa"/>
            <w:left w:w="15" w:type="dxa"/>
            <w:bottom w:w="15" w:type="dxa"/>
            <w:right w:w="15" w:type="dxa"/>
          </w:tblCellMar>
        </w:tblPrEx>
        <w:trPr>
          <w:trHeight w:val="530" w:hRule="atLeast"/>
        </w:trPr>
        <w:tc>
          <w:tcPr>
            <w:tcW w:w="55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 w:val="24"/>
              </w:rPr>
            </w:pPr>
          </w:p>
        </w:tc>
        <w:tc>
          <w:tcPr>
            <w:tcW w:w="2525"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textAlignment w:val="center"/>
              <w:rPr>
                <w:rFonts w:ascii="宋体" w:hAnsi="宋体" w:cs="宋体"/>
                <w:sz w:val="22"/>
                <w:szCs w:val="22"/>
              </w:rPr>
            </w:pPr>
            <w:r>
              <w:rPr>
                <w:rFonts w:hint="eastAsia" w:ascii="宋体" w:hAnsi="宋体" w:cs="宋体"/>
                <w:kern w:val="0"/>
                <w:sz w:val="22"/>
                <w:szCs w:val="22"/>
              </w:rPr>
              <w:t>4.受到国家部委、省委省政府和最高院通报表扬的</w:t>
            </w:r>
          </w:p>
        </w:tc>
        <w:tc>
          <w:tcPr>
            <w:tcW w:w="779"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cs="宋体"/>
                <w:sz w:val="22"/>
                <w:szCs w:val="22"/>
              </w:rPr>
            </w:pPr>
            <w:r>
              <w:rPr>
                <w:rFonts w:hint="eastAsia" w:ascii="宋体" w:hAnsi="宋体" w:cs="宋体"/>
                <w:kern w:val="0"/>
                <w:sz w:val="22"/>
                <w:szCs w:val="22"/>
              </w:rPr>
              <w:t>加0.3分</w:t>
            </w:r>
          </w:p>
        </w:tc>
        <w:tc>
          <w:tcPr>
            <w:tcW w:w="41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textAlignment w:val="center"/>
              <w:rPr>
                <w:rFonts w:ascii="宋体" w:hAnsi="宋体" w:cs="宋体"/>
                <w:kern w:val="0"/>
                <w:sz w:val="22"/>
                <w:szCs w:val="22"/>
              </w:rPr>
            </w:pPr>
          </w:p>
        </w:tc>
        <w:tc>
          <w:tcPr>
            <w:tcW w:w="730"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2"/>
                <w:szCs w:val="22"/>
              </w:rPr>
            </w:pPr>
          </w:p>
        </w:tc>
      </w:tr>
      <w:tr>
        <w:tblPrEx>
          <w:tblCellMar>
            <w:top w:w="15" w:type="dxa"/>
            <w:left w:w="15" w:type="dxa"/>
            <w:bottom w:w="15" w:type="dxa"/>
            <w:right w:w="15" w:type="dxa"/>
          </w:tblCellMar>
        </w:tblPrEx>
        <w:trPr>
          <w:trHeight w:val="530" w:hRule="atLeast"/>
        </w:trPr>
        <w:tc>
          <w:tcPr>
            <w:tcW w:w="55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 w:val="24"/>
              </w:rPr>
            </w:pPr>
          </w:p>
        </w:tc>
        <w:tc>
          <w:tcPr>
            <w:tcW w:w="2525"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textAlignment w:val="center"/>
              <w:rPr>
                <w:rFonts w:ascii="宋体" w:hAnsi="宋体" w:cs="宋体"/>
                <w:kern w:val="0"/>
                <w:sz w:val="22"/>
                <w:szCs w:val="22"/>
              </w:rPr>
            </w:pPr>
            <w:r>
              <w:rPr>
                <w:rFonts w:hint="eastAsia" w:ascii="宋体" w:hAnsi="宋体" w:cs="宋体"/>
                <w:kern w:val="0"/>
                <w:sz w:val="22"/>
                <w:szCs w:val="22"/>
              </w:rPr>
              <w:t>5.受到省委政法委、省高院、其他省直机关表彰奖励的</w:t>
            </w:r>
          </w:p>
        </w:tc>
        <w:tc>
          <w:tcPr>
            <w:tcW w:w="779"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cs="宋体"/>
                <w:kern w:val="0"/>
                <w:sz w:val="22"/>
                <w:szCs w:val="22"/>
              </w:rPr>
            </w:pPr>
            <w:r>
              <w:rPr>
                <w:rFonts w:hint="eastAsia" w:ascii="宋体" w:hAnsi="宋体" w:cs="宋体"/>
                <w:kern w:val="0"/>
                <w:sz w:val="22"/>
                <w:szCs w:val="22"/>
              </w:rPr>
              <w:t>加1分</w:t>
            </w:r>
          </w:p>
        </w:tc>
        <w:tc>
          <w:tcPr>
            <w:tcW w:w="41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textAlignment w:val="center"/>
              <w:rPr>
                <w:rFonts w:ascii="宋体" w:hAnsi="宋体" w:cs="宋体"/>
                <w:kern w:val="0"/>
                <w:sz w:val="22"/>
                <w:szCs w:val="22"/>
              </w:rPr>
            </w:pPr>
          </w:p>
        </w:tc>
        <w:tc>
          <w:tcPr>
            <w:tcW w:w="730"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2"/>
                <w:szCs w:val="22"/>
              </w:rPr>
            </w:pPr>
          </w:p>
        </w:tc>
      </w:tr>
      <w:tr>
        <w:tblPrEx>
          <w:tblCellMar>
            <w:top w:w="15" w:type="dxa"/>
            <w:left w:w="15" w:type="dxa"/>
            <w:bottom w:w="15" w:type="dxa"/>
            <w:right w:w="15" w:type="dxa"/>
          </w:tblCellMar>
        </w:tblPrEx>
        <w:trPr>
          <w:trHeight w:val="530" w:hRule="atLeast"/>
        </w:trPr>
        <w:tc>
          <w:tcPr>
            <w:tcW w:w="55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 w:val="24"/>
              </w:rPr>
            </w:pPr>
          </w:p>
        </w:tc>
        <w:tc>
          <w:tcPr>
            <w:tcW w:w="2525"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textAlignment w:val="center"/>
              <w:rPr>
                <w:rFonts w:ascii="宋体" w:hAnsi="宋体" w:cs="宋体"/>
                <w:sz w:val="22"/>
                <w:szCs w:val="22"/>
              </w:rPr>
            </w:pPr>
            <w:r>
              <w:rPr>
                <w:rFonts w:hint="eastAsia" w:ascii="宋体" w:hAnsi="宋体" w:cs="宋体"/>
                <w:kern w:val="0"/>
                <w:sz w:val="22"/>
                <w:szCs w:val="22"/>
              </w:rPr>
              <w:t>6.受到省委政法委、省高院、其他省直机关通报表扬的</w:t>
            </w:r>
          </w:p>
        </w:tc>
        <w:tc>
          <w:tcPr>
            <w:tcW w:w="779"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cs="宋体"/>
                <w:sz w:val="22"/>
                <w:szCs w:val="22"/>
              </w:rPr>
            </w:pPr>
            <w:r>
              <w:rPr>
                <w:rFonts w:hint="eastAsia" w:ascii="宋体" w:hAnsi="宋体" w:cs="宋体"/>
                <w:kern w:val="0"/>
                <w:sz w:val="22"/>
                <w:szCs w:val="22"/>
              </w:rPr>
              <w:t>加0.2分</w:t>
            </w:r>
          </w:p>
        </w:tc>
        <w:tc>
          <w:tcPr>
            <w:tcW w:w="41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textAlignment w:val="center"/>
              <w:rPr>
                <w:rFonts w:ascii="宋体" w:hAnsi="宋体" w:cs="宋体"/>
                <w:kern w:val="0"/>
                <w:sz w:val="22"/>
                <w:szCs w:val="22"/>
              </w:rPr>
            </w:pPr>
          </w:p>
        </w:tc>
        <w:tc>
          <w:tcPr>
            <w:tcW w:w="730"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2"/>
                <w:szCs w:val="22"/>
              </w:rPr>
            </w:pPr>
          </w:p>
        </w:tc>
      </w:tr>
      <w:tr>
        <w:tblPrEx>
          <w:tblCellMar>
            <w:top w:w="15" w:type="dxa"/>
            <w:left w:w="15" w:type="dxa"/>
            <w:bottom w:w="15" w:type="dxa"/>
            <w:right w:w="15" w:type="dxa"/>
          </w:tblCellMar>
        </w:tblPrEx>
        <w:trPr>
          <w:trHeight w:val="600" w:hRule="atLeast"/>
        </w:trPr>
        <w:tc>
          <w:tcPr>
            <w:tcW w:w="55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 w:val="24"/>
              </w:rPr>
            </w:pPr>
          </w:p>
        </w:tc>
        <w:tc>
          <w:tcPr>
            <w:tcW w:w="2525"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textAlignment w:val="center"/>
              <w:rPr>
                <w:rFonts w:ascii="宋体" w:hAnsi="宋体" w:cs="宋体"/>
                <w:kern w:val="0"/>
                <w:sz w:val="22"/>
                <w:szCs w:val="22"/>
              </w:rPr>
            </w:pPr>
            <w:r>
              <w:rPr>
                <w:rFonts w:hint="eastAsia" w:ascii="宋体" w:hAnsi="宋体" w:cs="宋体"/>
                <w:kern w:val="0"/>
                <w:sz w:val="22"/>
                <w:szCs w:val="22"/>
              </w:rPr>
              <w:t>7.受到市委市政府、市政法委、本院、其他市直机关表彰奖励的</w:t>
            </w:r>
          </w:p>
        </w:tc>
        <w:tc>
          <w:tcPr>
            <w:tcW w:w="779"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cs="宋体"/>
                <w:kern w:val="0"/>
                <w:sz w:val="22"/>
                <w:szCs w:val="22"/>
              </w:rPr>
            </w:pPr>
            <w:r>
              <w:rPr>
                <w:rFonts w:hint="eastAsia" w:ascii="宋体" w:hAnsi="宋体" w:cs="宋体"/>
                <w:kern w:val="0"/>
                <w:sz w:val="22"/>
                <w:szCs w:val="22"/>
              </w:rPr>
              <w:t>加0.5分</w:t>
            </w:r>
          </w:p>
        </w:tc>
        <w:tc>
          <w:tcPr>
            <w:tcW w:w="41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textAlignment w:val="center"/>
              <w:rPr>
                <w:rFonts w:ascii="宋体" w:hAnsi="宋体" w:cs="宋体"/>
                <w:kern w:val="0"/>
                <w:sz w:val="22"/>
                <w:szCs w:val="22"/>
              </w:rPr>
            </w:pPr>
          </w:p>
        </w:tc>
        <w:tc>
          <w:tcPr>
            <w:tcW w:w="730"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2"/>
                <w:szCs w:val="22"/>
              </w:rPr>
            </w:pPr>
          </w:p>
        </w:tc>
      </w:tr>
      <w:tr>
        <w:tblPrEx>
          <w:tblCellMar>
            <w:top w:w="15" w:type="dxa"/>
            <w:left w:w="15" w:type="dxa"/>
            <w:bottom w:w="15" w:type="dxa"/>
            <w:right w:w="15" w:type="dxa"/>
          </w:tblCellMar>
        </w:tblPrEx>
        <w:trPr>
          <w:trHeight w:val="600" w:hRule="atLeast"/>
        </w:trPr>
        <w:tc>
          <w:tcPr>
            <w:tcW w:w="55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 w:val="24"/>
              </w:rPr>
            </w:pPr>
          </w:p>
        </w:tc>
        <w:tc>
          <w:tcPr>
            <w:tcW w:w="2525"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textAlignment w:val="center"/>
              <w:rPr>
                <w:rFonts w:ascii="宋体" w:hAnsi="宋体" w:cs="宋体"/>
                <w:sz w:val="22"/>
                <w:szCs w:val="22"/>
              </w:rPr>
            </w:pPr>
            <w:r>
              <w:rPr>
                <w:rFonts w:hint="eastAsia" w:ascii="宋体" w:hAnsi="宋体" w:cs="宋体"/>
                <w:kern w:val="0"/>
                <w:sz w:val="22"/>
                <w:szCs w:val="22"/>
              </w:rPr>
              <w:t>8.受到市委市政府、市政法委、本院、其他市直机关通报表扬的</w:t>
            </w:r>
          </w:p>
        </w:tc>
        <w:tc>
          <w:tcPr>
            <w:tcW w:w="779"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cs="宋体"/>
                <w:sz w:val="22"/>
                <w:szCs w:val="22"/>
              </w:rPr>
            </w:pPr>
            <w:r>
              <w:rPr>
                <w:rFonts w:hint="eastAsia" w:ascii="宋体" w:hAnsi="宋体" w:cs="宋体"/>
                <w:kern w:val="0"/>
                <w:sz w:val="22"/>
                <w:szCs w:val="22"/>
              </w:rPr>
              <w:t>加0.2分</w:t>
            </w:r>
          </w:p>
        </w:tc>
        <w:tc>
          <w:tcPr>
            <w:tcW w:w="41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textAlignment w:val="center"/>
              <w:rPr>
                <w:rFonts w:ascii="宋体" w:hAnsi="宋体" w:cs="宋体"/>
                <w:kern w:val="0"/>
                <w:sz w:val="22"/>
                <w:szCs w:val="22"/>
              </w:rPr>
            </w:pPr>
          </w:p>
        </w:tc>
        <w:tc>
          <w:tcPr>
            <w:tcW w:w="730"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2"/>
                <w:szCs w:val="22"/>
              </w:rPr>
            </w:pPr>
          </w:p>
        </w:tc>
      </w:tr>
      <w:tr>
        <w:tblPrEx>
          <w:tblCellMar>
            <w:top w:w="15" w:type="dxa"/>
            <w:left w:w="15" w:type="dxa"/>
            <w:bottom w:w="15" w:type="dxa"/>
            <w:right w:w="15" w:type="dxa"/>
          </w:tblCellMar>
        </w:tblPrEx>
        <w:trPr>
          <w:trHeight w:val="505" w:hRule="atLeast"/>
        </w:trPr>
        <w:tc>
          <w:tcPr>
            <w:tcW w:w="55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 w:val="24"/>
              </w:rPr>
            </w:pPr>
          </w:p>
        </w:tc>
        <w:tc>
          <w:tcPr>
            <w:tcW w:w="2525"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textAlignment w:val="center"/>
              <w:rPr>
                <w:rFonts w:ascii="宋体" w:hAnsi="宋体" w:cs="宋体"/>
                <w:sz w:val="22"/>
                <w:szCs w:val="22"/>
              </w:rPr>
            </w:pPr>
            <w:r>
              <w:rPr>
                <w:rFonts w:hint="eastAsia" w:ascii="宋体" w:hAnsi="宋体" w:cs="宋体"/>
                <w:kern w:val="0"/>
                <w:sz w:val="22"/>
                <w:szCs w:val="22"/>
              </w:rPr>
              <w:t>9.荣立集体一等功的</w:t>
            </w:r>
          </w:p>
        </w:tc>
        <w:tc>
          <w:tcPr>
            <w:tcW w:w="779"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cs="宋体"/>
                <w:sz w:val="22"/>
                <w:szCs w:val="22"/>
              </w:rPr>
            </w:pPr>
            <w:r>
              <w:rPr>
                <w:rFonts w:hint="eastAsia" w:ascii="宋体" w:hAnsi="宋体" w:cs="宋体"/>
                <w:kern w:val="0"/>
                <w:sz w:val="22"/>
                <w:szCs w:val="22"/>
              </w:rPr>
              <w:t>加1.5分</w:t>
            </w:r>
          </w:p>
        </w:tc>
        <w:tc>
          <w:tcPr>
            <w:tcW w:w="410"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textAlignment w:val="center"/>
              <w:rPr>
                <w:rFonts w:ascii="宋体" w:hAnsi="宋体" w:cs="宋体"/>
                <w:kern w:val="0"/>
                <w:sz w:val="22"/>
                <w:szCs w:val="22"/>
              </w:rPr>
            </w:pPr>
          </w:p>
        </w:tc>
        <w:tc>
          <w:tcPr>
            <w:tcW w:w="73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2"/>
                <w:szCs w:val="22"/>
              </w:rPr>
            </w:pPr>
            <w:r>
              <w:rPr>
                <w:rFonts w:hint="eastAsia" w:ascii="宋体" w:hAnsi="宋体" w:cs="宋体"/>
                <w:kern w:val="0"/>
                <w:sz w:val="22"/>
                <w:szCs w:val="22"/>
              </w:rPr>
              <w:t>1.年终考核表彰奖励不计入加分项。</w:t>
            </w:r>
          </w:p>
          <w:p>
            <w:pPr>
              <w:widowControl/>
              <w:jc w:val="left"/>
              <w:textAlignment w:val="center"/>
              <w:rPr>
                <w:rFonts w:ascii="宋体" w:hAnsi="宋体" w:cs="宋体"/>
                <w:kern w:val="0"/>
                <w:sz w:val="22"/>
                <w:szCs w:val="22"/>
              </w:rPr>
            </w:pPr>
            <w:r>
              <w:rPr>
                <w:rFonts w:hint="eastAsia" w:ascii="宋体" w:hAnsi="宋体" w:cs="宋体"/>
                <w:kern w:val="0"/>
                <w:sz w:val="22"/>
                <w:szCs w:val="22"/>
              </w:rPr>
              <w:t>2.个人获得表彰奖励的参照此标准执行。</w:t>
            </w:r>
          </w:p>
        </w:tc>
      </w:tr>
      <w:tr>
        <w:tblPrEx>
          <w:tblCellMar>
            <w:top w:w="15" w:type="dxa"/>
            <w:left w:w="15" w:type="dxa"/>
            <w:bottom w:w="15" w:type="dxa"/>
            <w:right w:w="15" w:type="dxa"/>
          </w:tblCellMar>
        </w:tblPrEx>
        <w:trPr>
          <w:trHeight w:val="500" w:hRule="atLeast"/>
        </w:trPr>
        <w:tc>
          <w:tcPr>
            <w:tcW w:w="55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 w:val="24"/>
              </w:rPr>
            </w:pPr>
          </w:p>
        </w:tc>
        <w:tc>
          <w:tcPr>
            <w:tcW w:w="2525"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textAlignment w:val="center"/>
              <w:rPr>
                <w:rFonts w:ascii="宋体" w:hAnsi="宋体" w:cs="宋体"/>
                <w:sz w:val="22"/>
                <w:szCs w:val="22"/>
              </w:rPr>
            </w:pPr>
            <w:r>
              <w:rPr>
                <w:rFonts w:hint="eastAsia" w:ascii="宋体" w:hAnsi="宋体" w:cs="宋体"/>
                <w:kern w:val="0"/>
                <w:sz w:val="22"/>
                <w:szCs w:val="22"/>
              </w:rPr>
              <w:t>10.荣立集体二等功的</w:t>
            </w:r>
          </w:p>
        </w:tc>
        <w:tc>
          <w:tcPr>
            <w:tcW w:w="779"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cs="宋体"/>
                <w:sz w:val="22"/>
                <w:szCs w:val="22"/>
              </w:rPr>
            </w:pPr>
            <w:r>
              <w:rPr>
                <w:rFonts w:hint="eastAsia" w:ascii="宋体" w:hAnsi="宋体" w:cs="宋体"/>
                <w:kern w:val="0"/>
                <w:sz w:val="22"/>
                <w:szCs w:val="22"/>
              </w:rPr>
              <w:t>加1分</w:t>
            </w:r>
          </w:p>
        </w:tc>
        <w:tc>
          <w:tcPr>
            <w:tcW w:w="41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7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r>
      <w:tr>
        <w:tblPrEx>
          <w:tblCellMar>
            <w:top w:w="15" w:type="dxa"/>
            <w:left w:w="15" w:type="dxa"/>
            <w:bottom w:w="15" w:type="dxa"/>
            <w:right w:w="15" w:type="dxa"/>
          </w:tblCellMar>
        </w:tblPrEx>
        <w:trPr>
          <w:trHeight w:val="500" w:hRule="atLeast"/>
        </w:trPr>
        <w:tc>
          <w:tcPr>
            <w:tcW w:w="55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 w:val="24"/>
              </w:rPr>
            </w:pPr>
          </w:p>
        </w:tc>
        <w:tc>
          <w:tcPr>
            <w:tcW w:w="2525"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textAlignment w:val="center"/>
              <w:rPr>
                <w:rFonts w:ascii="宋体" w:hAnsi="宋体" w:cs="宋体"/>
                <w:sz w:val="22"/>
                <w:szCs w:val="22"/>
              </w:rPr>
            </w:pPr>
            <w:r>
              <w:rPr>
                <w:rFonts w:hint="eastAsia" w:ascii="宋体" w:hAnsi="宋体" w:cs="宋体"/>
                <w:kern w:val="0"/>
                <w:sz w:val="22"/>
                <w:szCs w:val="22"/>
              </w:rPr>
              <w:t>11.荣立集体三等功的</w:t>
            </w:r>
          </w:p>
        </w:tc>
        <w:tc>
          <w:tcPr>
            <w:tcW w:w="779"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cs="宋体"/>
                <w:sz w:val="22"/>
                <w:szCs w:val="22"/>
              </w:rPr>
            </w:pPr>
            <w:r>
              <w:rPr>
                <w:rFonts w:hint="eastAsia" w:ascii="宋体" w:hAnsi="宋体" w:cs="宋体"/>
                <w:kern w:val="0"/>
                <w:sz w:val="22"/>
                <w:szCs w:val="22"/>
              </w:rPr>
              <w:t>加0.5分</w:t>
            </w:r>
          </w:p>
        </w:tc>
        <w:tc>
          <w:tcPr>
            <w:tcW w:w="41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7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r>
      <w:tr>
        <w:tblPrEx>
          <w:tblCellMar>
            <w:top w:w="15" w:type="dxa"/>
            <w:left w:w="15" w:type="dxa"/>
            <w:bottom w:w="15" w:type="dxa"/>
            <w:right w:w="15" w:type="dxa"/>
          </w:tblCellMar>
        </w:tblPrEx>
        <w:trPr>
          <w:trHeight w:val="460" w:hRule="atLeast"/>
        </w:trPr>
        <w:tc>
          <w:tcPr>
            <w:tcW w:w="55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 w:val="24"/>
              </w:rPr>
            </w:pPr>
          </w:p>
        </w:tc>
        <w:tc>
          <w:tcPr>
            <w:tcW w:w="2525"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textAlignment w:val="center"/>
              <w:rPr>
                <w:rFonts w:ascii="宋体" w:hAnsi="宋体" w:cs="宋体"/>
                <w:sz w:val="22"/>
                <w:szCs w:val="22"/>
              </w:rPr>
            </w:pPr>
            <w:r>
              <w:rPr>
                <w:rFonts w:hint="eastAsia" w:ascii="宋体" w:hAnsi="宋体" w:cs="宋体"/>
                <w:kern w:val="0"/>
                <w:sz w:val="22"/>
                <w:szCs w:val="22"/>
              </w:rPr>
              <w:t>12.获得嘉奖的</w:t>
            </w:r>
          </w:p>
        </w:tc>
        <w:tc>
          <w:tcPr>
            <w:tcW w:w="779"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cs="宋体"/>
                <w:sz w:val="22"/>
                <w:szCs w:val="22"/>
              </w:rPr>
            </w:pPr>
            <w:r>
              <w:rPr>
                <w:rFonts w:hint="eastAsia" w:ascii="宋体" w:hAnsi="宋体" w:cs="宋体"/>
                <w:kern w:val="0"/>
                <w:sz w:val="22"/>
                <w:szCs w:val="22"/>
              </w:rPr>
              <w:t>加0.2分</w:t>
            </w:r>
          </w:p>
        </w:tc>
        <w:tc>
          <w:tcPr>
            <w:tcW w:w="41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73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r>
      <w:tr>
        <w:tblPrEx>
          <w:tblCellMar>
            <w:top w:w="15" w:type="dxa"/>
            <w:left w:w="15" w:type="dxa"/>
            <w:bottom w:w="15" w:type="dxa"/>
            <w:right w:w="15" w:type="dxa"/>
          </w:tblCellMar>
        </w:tblPrEx>
        <w:trPr>
          <w:trHeight w:val="609" w:hRule="atLeast"/>
        </w:trPr>
        <w:tc>
          <w:tcPr>
            <w:tcW w:w="556" w:type="pct"/>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b/>
                <w:kern w:val="0"/>
                <w:sz w:val="24"/>
              </w:rPr>
            </w:pPr>
            <w:r>
              <w:rPr>
                <w:rFonts w:hint="eastAsia" w:ascii="宋体" w:hAnsi="宋体" w:cs="宋体"/>
                <w:b/>
                <w:kern w:val="0"/>
                <w:sz w:val="24"/>
              </w:rPr>
              <w:t>二、发表新闻宣传稿件</w:t>
            </w:r>
          </w:p>
        </w:tc>
        <w:tc>
          <w:tcPr>
            <w:tcW w:w="2525"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cs="宋体"/>
                <w:sz w:val="22"/>
                <w:szCs w:val="22"/>
              </w:rPr>
            </w:pPr>
            <w:r>
              <w:rPr>
                <w:rFonts w:hint="eastAsia" w:ascii="宋体" w:hAnsi="宋体" w:cs="宋体"/>
                <w:kern w:val="0"/>
                <w:sz w:val="22"/>
                <w:szCs w:val="22"/>
              </w:rPr>
              <w:t>13.部门单独撰写或新闻处共同撰写的新闻宣传稿件在《人民日报》或中央电视台刊发、报道的</w:t>
            </w:r>
          </w:p>
        </w:tc>
        <w:tc>
          <w:tcPr>
            <w:tcW w:w="779"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cs="宋体"/>
                <w:sz w:val="22"/>
                <w:szCs w:val="22"/>
              </w:rPr>
            </w:pPr>
            <w:r>
              <w:rPr>
                <w:rFonts w:hint="eastAsia" w:ascii="宋体" w:hAnsi="宋体" w:cs="宋体"/>
                <w:kern w:val="0"/>
                <w:sz w:val="22"/>
                <w:szCs w:val="22"/>
              </w:rPr>
              <w:t>每篇加1分</w:t>
            </w:r>
          </w:p>
        </w:tc>
        <w:tc>
          <w:tcPr>
            <w:tcW w:w="410" w:type="pct"/>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2"/>
                <w:szCs w:val="22"/>
              </w:rPr>
              <w:t>宣教处</w:t>
            </w:r>
          </w:p>
        </w:tc>
        <w:tc>
          <w:tcPr>
            <w:tcW w:w="730" w:type="pct"/>
            <w:vMerge w:val="restart"/>
            <w:tcBorders>
              <w:top w:val="single" w:color="auto" w:sz="4" w:space="0"/>
              <w:left w:val="single" w:color="auto" w:sz="4" w:space="0"/>
              <w:right w:val="single" w:color="auto" w:sz="4" w:space="0"/>
            </w:tcBorders>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14-15项，在中直重要主流媒体及省直重要媒体刊发综合类深度报道的，每篇再加0.2分。</w:t>
            </w:r>
          </w:p>
          <w:p>
            <w:pPr>
              <w:widowControl/>
              <w:jc w:val="left"/>
              <w:textAlignment w:val="center"/>
              <w:rPr>
                <w:rFonts w:ascii="宋体" w:hAnsi="宋体" w:cs="宋体"/>
                <w:sz w:val="24"/>
              </w:rPr>
            </w:pPr>
            <w:r>
              <w:rPr>
                <w:rFonts w:hint="eastAsia" w:ascii="宋体" w:hAnsi="宋体" w:cs="宋体"/>
                <w:kern w:val="0"/>
                <w:sz w:val="20"/>
                <w:szCs w:val="20"/>
              </w:rPr>
              <w:t>对于属于部门职责范围内应正常完成的宣传任务不予加分</w:t>
            </w:r>
          </w:p>
        </w:tc>
      </w:tr>
      <w:tr>
        <w:tblPrEx>
          <w:tblCellMar>
            <w:top w:w="15" w:type="dxa"/>
            <w:left w:w="15" w:type="dxa"/>
            <w:bottom w:w="15" w:type="dxa"/>
            <w:right w:w="15" w:type="dxa"/>
          </w:tblCellMar>
        </w:tblPrEx>
        <w:trPr>
          <w:trHeight w:val="574" w:hRule="atLeast"/>
        </w:trPr>
        <w:tc>
          <w:tcPr>
            <w:tcW w:w="556" w:type="pct"/>
            <w:vMerge w:val="continue"/>
            <w:tcBorders>
              <w:left w:val="single" w:color="auto" w:sz="4" w:space="0"/>
              <w:right w:val="single" w:color="auto" w:sz="4" w:space="0"/>
            </w:tcBorders>
            <w:vAlign w:val="center"/>
          </w:tcPr>
          <w:p>
            <w:pPr>
              <w:widowControl/>
              <w:jc w:val="center"/>
              <w:textAlignment w:val="center"/>
              <w:rPr>
                <w:rFonts w:ascii="宋体" w:hAnsi="宋体" w:cs="宋体"/>
                <w:b/>
                <w:kern w:val="0"/>
                <w:sz w:val="24"/>
              </w:rPr>
            </w:pPr>
          </w:p>
        </w:tc>
        <w:tc>
          <w:tcPr>
            <w:tcW w:w="2525"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cs="宋体"/>
                <w:sz w:val="22"/>
                <w:szCs w:val="22"/>
              </w:rPr>
            </w:pPr>
            <w:r>
              <w:rPr>
                <w:rFonts w:hint="eastAsia" w:ascii="宋体" w:hAnsi="宋体" w:cs="宋体"/>
                <w:kern w:val="0"/>
                <w:sz w:val="22"/>
                <w:szCs w:val="22"/>
              </w:rPr>
              <w:t>14.在《光明日报》《工人日报》《法治日报》《人民法院报》等国家级报刊杂志发表的</w:t>
            </w:r>
          </w:p>
        </w:tc>
        <w:tc>
          <w:tcPr>
            <w:tcW w:w="779"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cs="宋体"/>
                <w:sz w:val="22"/>
                <w:szCs w:val="22"/>
              </w:rPr>
            </w:pPr>
            <w:r>
              <w:rPr>
                <w:rFonts w:hint="eastAsia" w:ascii="宋体" w:hAnsi="宋体" w:cs="宋体"/>
                <w:kern w:val="0"/>
                <w:sz w:val="22"/>
                <w:szCs w:val="22"/>
              </w:rPr>
              <w:t>每篇加0.5分</w:t>
            </w:r>
          </w:p>
        </w:tc>
        <w:tc>
          <w:tcPr>
            <w:tcW w:w="410" w:type="pct"/>
            <w:vMerge w:val="continue"/>
            <w:tcBorders>
              <w:left w:val="single" w:color="auto" w:sz="4" w:space="0"/>
              <w:right w:val="single" w:color="auto" w:sz="4" w:space="0"/>
            </w:tcBorders>
            <w:vAlign w:val="center"/>
          </w:tcPr>
          <w:p>
            <w:pPr>
              <w:widowControl/>
              <w:jc w:val="center"/>
              <w:textAlignment w:val="center"/>
              <w:rPr>
                <w:rFonts w:ascii="宋体" w:hAnsi="宋体" w:cs="宋体"/>
                <w:kern w:val="0"/>
                <w:sz w:val="24"/>
              </w:rPr>
            </w:pPr>
          </w:p>
        </w:tc>
        <w:tc>
          <w:tcPr>
            <w:tcW w:w="730" w:type="pct"/>
            <w:vMerge w:val="continue"/>
            <w:tcBorders>
              <w:left w:val="single" w:color="auto" w:sz="4" w:space="0"/>
              <w:right w:val="single" w:color="auto" w:sz="4" w:space="0"/>
            </w:tcBorders>
            <w:vAlign w:val="center"/>
          </w:tcPr>
          <w:p>
            <w:pPr>
              <w:jc w:val="left"/>
              <w:rPr>
                <w:rFonts w:ascii="宋体" w:hAnsi="宋体" w:cs="宋体"/>
                <w:sz w:val="24"/>
              </w:rPr>
            </w:pPr>
          </w:p>
        </w:tc>
      </w:tr>
      <w:tr>
        <w:tblPrEx>
          <w:tblCellMar>
            <w:top w:w="15" w:type="dxa"/>
            <w:left w:w="15" w:type="dxa"/>
            <w:bottom w:w="15" w:type="dxa"/>
            <w:right w:w="15" w:type="dxa"/>
          </w:tblCellMar>
        </w:tblPrEx>
        <w:trPr>
          <w:trHeight w:val="609" w:hRule="atLeast"/>
        </w:trPr>
        <w:tc>
          <w:tcPr>
            <w:tcW w:w="556" w:type="pct"/>
            <w:vMerge w:val="continue"/>
            <w:tcBorders>
              <w:left w:val="single" w:color="auto" w:sz="4" w:space="0"/>
              <w:right w:val="single" w:color="auto" w:sz="4" w:space="0"/>
            </w:tcBorders>
            <w:vAlign w:val="center"/>
          </w:tcPr>
          <w:p>
            <w:pPr>
              <w:widowControl/>
              <w:jc w:val="center"/>
              <w:textAlignment w:val="center"/>
              <w:rPr>
                <w:rFonts w:ascii="宋体" w:hAnsi="宋体" w:cs="宋体"/>
                <w:b/>
                <w:kern w:val="0"/>
                <w:sz w:val="24"/>
              </w:rPr>
            </w:pPr>
          </w:p>
        </w:tc>
        <w:tc>
          <w:tcPr>
            <w:tcW w:w="2525"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cs="宋体"/>
                <w:sz w:val="22"/>
                <w:szCs w:val="22"/>
              </w:rPr>
            </w:pPr>
            <w:r>
              <w:rPr>
                <w:rFonts w:hint="eastAsia" w:ascii="宋体" w:hAnsi="宋体" w:cs="宋体"/>
                <w:kern w:val="0"/>
                <w:sz w:val="22"/>
                <w:szCs w:val="22"/>
              </w:rPr>
              <w:t>15.部门单独撰写或新闻处共同撰写的新闻宣传稿件在《吉林日报》《吉林新闻联播》等省级媒体上发表的</w:t>
            </w:r>
          </w:p>
        </w:tc>
        <w:tc>
          <w:tcPr>
            <w:tcW w:w="779"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cs="宋体"/>
                <w:sz w:val="22"/>
                <w:szCs w:val="22"/>
              </w:rPr>
            </w:pPr>
            <w:r>
              <w:rPr>
                <w:rFonts w:hint="eastAsia" w:ascii="宋体" w:hAnsi="宋体" w:cs="宋体"/>
                <w:kern w:val="0"/>
                <w:sz w:val="22"/>
                <w:szCs w:val="22"/>
              </w:rPr>
              <w:t>每篇加0.3分</w:t>
            </w:r>
          </w:p>
        </w:tc>
        <w:tc>
          <w:tcPr>
            <w:tcW w:w="410" w:type="pct"/>
            <w:vMerge w:val="continue"/>
            <w:tcBorders>
              <w:left w:val="single" w:color="auto" w:sz="4" w:space="0"/>
              <w:right w:val="single" w:color="auto" w:sz="4" w:space="0"/>
            </w:tcBorders>
            <w:vAlign w:val="center"/>
          </w:tcPr>
          <w:p>
            <w:pPr>
              <w:widowControl/>
              <w:jc w:val="center"/>
              <w:textAlignment w:val="center"/>
              <w:rPr>
                <w:rFonts w:ascii="宋体" w:hAnsi="宋体" w:cs="宋体"/>
                <w:kern w:val="0"/>
                <w:sz w:val="24"/>
              </w:rPr>
            </w:pPr>
          </w:p>
        </w:tc>
        <w:tc>
          <w:tcPr>
            <w:tcW w:w="730" w:type="pct"/>
            <w:vMerge w:val="continue"/>
            <w:tcBorders>
              <w:left w:val="single" w:color="auto" w:sz="4" w:space="0"/>
              <w:right w:val="single" w:color="auto" w:sz="4" w:space="0"/>
            </w:tcBorders>
            <w:vAlign w:val="center"/>
          </w:tcPr>
          <w:p>
            <w:pPr>
              <w:jc w:val="left"/>
              <w:rPr>
                <w:rFonts w:ascii="宋体" w:hAnsi="宋体" w:cs="宋体"/>
                <w:sz w:val="24"/>
              </w:rPr>
            </w:pPr>
          </w:p>
        </w:tc>
      </w:tr>
      <w:tr>
        <w:tblPrEx>
          <w:tblCellMar>
            <w:top w:w="15" w:type="dxa"/>
            <w:left w:w="15" w:type="dxa"/>
            <w:bottom w:w="15" w:type="dxa"/>
            <w:right w:w="15" w:type="dxa"/>
          </w:tblCellMar>
        </w:tblPrEx>
        <w:trPr>
          <w:trHeight w:val="609" w:hRule="atLeast"/>
        </w:trPr>
        <w:tc>
          <w:tcPr>
            <w:tcW w:w="556" w:type="pct"/>
            <w:vMerge w:val="continue"/>
            <w:tcBorders>
              <w:left w:val="single" w:color="auto" w:sz="4" w:space="0"/>
              <w:right w:val="single" w:color="auto" w:sz="4" w:space="0"/>
            </w:tcBorders>
            <w:vAlign w:val="center"/>
          </w:tcPr>
          <w:p>
            <w:pPr>
              <w:widowControl/>
              <w:jc w:val="center"/>
              <w:textAlignment w:val="center"/>
              <w:rPr>
                <w:rFonts w:ascii="宋体" w:hAnsi="宋体" w:cs="宋体"/>
                <w:b/>
                <w:kern w:val="0"/>
                <w:sz w:val="24"/>
              </w:rPr>
            </w:pPr>
          </w:p>
        </w:tc>
        <w:tc>
          <w:tcPr>
            <w:tcW w:w="2525"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cs="宋体"/>
                <w:sz w:val="22"/>
                <w:szCs w:val="22"/>
              </w:rPr>
            </w:pPr>
            <w:r>
              <w:rPr>
                <w:rFonts w:hint="eastAsia" w:ascii="宋体" w:hAnsi="宋体" w:cs="宋体"/>
                <w:kern w:val="0"/>
                <w:sz w:val="22"/>
                <w:szCs w:val="22"/>
              </w:rPr>
              <w:t>16.部门报送的稿件被省高院自媒体采用的，在微信公众号单篇文章阅读量达到2000的，或抖音单条短视频观看达到“10万+”的</w:t>
            </w:r>
          </w:p>
        </w:tc>
        <w:tc>
          <w:tcPr>
            <w:tcW w:w="779"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cs="宋体"/>
                <w:sz w:val="22"/>
                <w:szCs w:val="22"/>
              </w:rPr>
            </w:pPr>
            <w:r>
              <w:rPr>
                <w:rFonts w:hint="eastAsia" w:ascii="宋体" w:hAnsi="宋体" w:cs="宋体"/>
                <w:kern w:val="0"/>
                <w:sz w:val="22"/>
                <w:szCs w:val="22"/>
              </w:rPr>
              <w:t>每篇加0.2分</w:t>
            </w:r>
          </w:p>
        </w:tc>
        <w:tc>
          <w:tcPr>
            <w:tcW w:w="410" w:type="pct"/>
            <w:vMerge w:val="continue"/>
            <w:tcBorders>
              <w:left w:val="single" w:color="auto" w:sz="4" w:space="0"/>
              <w:right w:val="single" w:color="auto" w:sz="4" w:space="0"/>
            </w:tcBorders>
            <w:vAlign w:val="center"/>
          </w:tcPr>
          <w:p>
            <w:pPr>
              <w:widowControl/>
              <w:jc w:val="center"/>
              <w:textAlignment w:val="center"/>
              <w:rPr>
                <w:rFonts w:ascii="宋体" w:hAnsi="宋体" w:cs="宋体"/>
                <w:kern w:val="0"/>
                <w:sz w:val="24"/>
              </w:rPr>
            </w:pPr>
          </w:p>
        </w:tc>
        <w:tc>
          <w:tcPr>
            <w:tcW w:w="730" w:type="pct"/>
            <w:vMerge w:val="continue"/>
            <w:tcBorders>
              <w:left w:val="single" w:color="auto" w:sz="4" w:space="0"/>
              <w:right w:val="single" w:color="auto" w:sz="4" w:space="0"/>
            </w:tcBorders>
            <w:vAlign w:val="center"/>
          </w:tcPr>
          <w:p>
            <w:pPr>
              <w:jc w:val="left"/>
              <w:rPr>
                <w:rFonts w:ascii="宋体" w:hAnsi="宋体" w:cs="宋体"/>
                <w:sz w:val="24"/>
              </w:rPr>
            </w:pPr>
          </w:p>
        </w:tc>
      </w:tr>
      <w:tr>
        <w:tblPrEx>
          <w:tblCellMar>
            <w:top w:w="15" w:type="dxa"/>
            <w:left w:w="15" w:type="dxa"/>
            <w:bottom w:w="15" w:type="dxa"/>
            <w:right w:w="15" w:type="dxa"/>
          </w:tblCellMar>
        </w:tblPrEx>
        <w:trPr>
          <w:trHeight w:val="609" w:hRule="atLeast"/>
        </w:trPr>
        <w:tc>
          <w:tcPr>
            <w:tcW w:w="556" w:type="pct"/>
            <w:vMerge w:val="continue"/>
            <w:tcBorders>
              <w:left w:val="single" w:color="auto" w:sz="4" w:space="0"/>
              <w:right w:val="single" w:color="auto" w:sz="4" w:space="0"/>
            </w:tcBorders>
            <w:vAlign w:val="center"/>
          </w:tcPr>
          <w:p>
            <w:pPr>
              <w:widowControl/>
              <w:jc w:val="center"/>
              <w:textAlignment w:val="center"/>
              <w:rPr>
                <w:rFonts w:ascii="宋体" w:hAnsi="宋体" w:cs="宋体"/>
                <w:b/>
                <w:kern w:val="0"/>
                <w:sz w:val="24"/>
              </w:rPr>
            </w:pPr>
          </w:p>
        </w:tc>
        <w:tc>
          <w:tcPr>
            <w:tcW w:w="2525"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cs="宋体"/>
                <w:kern w:val="0"/>
                <w:sz w:val="22"/>
                <w:szCs w:val="22"/>
              </w:rPr>
            </w:pPr>
            <w:r>
              <w:rPr>
                <w:rFonts w:hint="eastAsia" w:ascii="宋体" w:hAnsi="宋体" w:cs="宋体"/>
                <w:kern w:val="0"/>
                <w:sz w:val="22"/>
                <w:szCs w:val="22"/>
              </w:rPr>
              <w:t>17.部门报送的稿件被本院自媒体采用的，在微信公众号单篇文章阅读量达到1000的，或抖音单条短视频观看达到“2万+”的</w:t>
            </w:r>
          </w:p>
        </w:tc>
        <w:tc>
          <w:tcPr>
            <w:tcW w:w="779"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cs="宋体"/>
                <w:kern w:val="0"/>
                <w:sz w:val="22"/>
                <w:szCs w:val="22"/>
              </w:rPr>
            </w:pPr>
            <w:r>
              <w:rPr>
                <w:rFonts w:hint="eastAsia" w:ascii="宋体" w:hAnsi="宋体" w:cs="宋体"/>
                <w:kern w:val="0"/>
                <w:sz w:val="22"/>
                <w:szCs w:val="22"/>
              </w:rPr>
              <w:t>每篇加0.1分</w:t>
            </w:r>
          </w:p>
        </w:tc>
        <w:tc>
          <w:tcPr>
            <w:tcW w:w="410" w:type="pct"/>
            <w:vMerge w:val="continue"/>
            <w:tcBorders>
              <w:left w:val="single" w:color="auto" w:sz="4" w:space="0"/>
              <w:right w:val="single" w:color="auto" w:sz="4" w:space="0"/>
            </w:tcBorders>
            <w:vAlign w:val="center"/>
          </w:tcPr>
          <w:p>
            <w:pPr>
              <w:widowControl/>
              <w:jc w:val="center"/>
              <w:textAlignment w:val="center"/>
              <w:rPr>
                <w:rFonts w:ascii="宋体" w:hAnsi="宋体" w:cs="宋体"/>
                <w:kern w:val="0"/>
                <w:sz w:val="24"/>
              </w:rPr>
            </w:pPr>
          </w:p>
        </w:tc>
        <w:tc>
          <w:tcPr>
            <w:tcW w:w="730" w:type="pct"/>
            <w:vMerge w:val="continue"/>
            <w:tcBorders>
              <w:left w:val="single" w:color="auto" w:sz="4" w:space="0"/>
              <w:right w:val="single" w:color="auto" w:sz="4" w:space="0"/>
            </w:tcBorders>
            <w:vAlign w:val="center"/>
          </w:tcPr>
          <w:p>
            <w:pPr>
              <w:jc w:val="left"/>
              <w:rPr>
                <w:rFonts w:ascii="宋体" w:hAnsi="宋体" w:cs="宋体"/>
                <w:sz w:val="24"/>
              </w:rPr>
            </w:pPr>
          </w:p>
        </w:tc>
      </w:tr>
      <w:tr>
        <w:tblPrEx>
          <w:tblCellMar>
            <w:top w:w="15" w:type="dxa"/>
            <w:left w:w="15" w:type="dxa"/>
            <w:bottom w:w="15" w:type="dxa"/>
            <w:right w:w="15" w:type="dxa"/>
          </w:tblCellMar>
        </w:tblPrEx>
        <w:trPr>
          <w:trHeight w:val="609" w:hRule="atLeast"/>
        </w:trPr>
        <w:tc>
          <w:tcPr>
            <w:tcW w:w="556" w:type="pct"/>
            <w:tcBorders>
              <w:left w:val="single" w:color="auto" w:sz="4" w:space="0"/>
              <w:right w:val="single" w:color="auto" w:sz="4" w:space="0"/>
            </w:tcBorders>
            <w:vAlign w:val="center"/>
          </w:tcPr>
          <w:p>
            <w:pPr>
              <w:widowControl/>
              <w:jc w:val="center"/>
              <w:textAlignment w:val="center"/>
              <w:rPr>
                <w:rFonts w:ascii="宋体" w:hAnsi="宋体" w:cs="宋体"/>
                <w:b/>
                <w:kern w:val="0"/>
                <w:sz w:val="24"/>
              </w:rPr>
            </w:pPr>
          </w:p>
        </w:tc>
        <w:tc>
          <w:tcPr>
            <w:tcW w:w="2525"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cs="宋体"/>
                <w:b/>
                <w:color w:val="FF0000"/>
                <w:sz w:val="22"/>
                <w:szCs w:val="22"/>
                <w:u w:val="single"/>
              </w:rPr>
            </w:pPr>
            <w:r>
              <w:rPr>
                <w:rFonts w:hint="eastAsia" w:ascii="宋体" w:hAnsi="宋体" w:cs="宋体"/>
                <w:b/>
                <w:color w:val="FF0000"/>
                <w:kern w:val="0"/>
                <w:sz w:val="22"/>
                <w:szCs w:val="22"/>
                <w:u w:val="single"/>
              </w:rPr>
              <w:t>删除：18.各部门自行组织开展各类媒体直播活动、新闻发布会或通报会、媒体见面会等重大主题宣传活动的</w:t>
            </w:r>
          </w:p>
        </w:tc>
        <w:tc>
          <w:tcPr>
            <w:tcW w:w="779"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cs="宋体"/>
                <w:kern w:val="0"/>
                <w:sz w:val="22"/>
                <w:szCs w:val="22"/>
              </w:rPr>
            </w:pPr>
          </w:p>
        </w:tc>
        <w:tc>
          <w:tcPr>
            <w:tcW w:w="410" w:type="pct"/>
            <w:tcBorders>
              <w:left w:val="single" w:color="auto" w:sz="4" w:space="0"/>
              <w:right w:val="single" w:color="auto" w:sz="4" w:space="0"/>
            </w:tcBorders>
            <w:vAlign w:val="center"/>
          </w:tcPr>
          <w:p>
            <w:pPr>
              <w:widowControl/>
              <w:jc w:val="center"/>
              <w:textAlignment w:val="center"/>
              <w:rPr>
                <w:rFonts w:ascii="宋体" w:hAnsi="宋体" w:cs="宋体"/>
                <w:kern w:val="0"/>
                <w:sz w:val="24"/>
              </w:rPr>
            </w:pPr>
          </w:p>
        </w:tc>
        <w:tc>
          <w:tcPr>
            <w:tcW w:w="730" w:type="pct"/>
            <w:tcBorders>
              <w:left w:val="single" w:color="auto" w:sz="4" w:space="0"/>
              <w:right w:val="single" w:color="auto" w:sz="4" w:space="0"/>
            </w:tcBorders>
            <w:vAlign w:val="center"/>
          </w:tcPr>
          <w:p>
            <w:pPr>
              <w:jc w:val="left"/>
              <w:rPr>
                <w:rFonts w:ascii="宋体" w:hAnsi="宋体" w:cs="宋体"/>
                <w:sz w:val="24"/>
              </w:rPr>
            </w:pPr>
          </w:p>
        </w:tc>
      </w:tr>
      <w:tr>
        <w:tblPrEx>
          <w:tblCellMar>
            <w:top w:w="15" w:type="dxa"/>
            <w:left w:w="15" w:type="dxa"/>
            <w:bottom w:w="15" w:type="dxa"/>
            <w:right w:w="15" w:type="dxa"/>
          </w:tblCellMar>
        </w:tblPrEx>
        <w:trPr>
          <w:trHeight w:val="609" w:hRule="atLeast"/>
        </w:trPr>
        <w:tc>
          <w:tcPr>
            <w:tcW w:w="556" w:type="pct"/>
            <w:tcBorders>
              <w:left w:val="single" w:color="auto" w:sz="4" w:space="0"/>
              <w:right w:val="single" w:color="auto" w:sz="4" w:space="0"/>
            </w:tcBorders>
            <w:vAlign w:val="center"/>
          </w:tcPr>
          <w:p>
            <w:pPr>
              <w:widowControl/>
              <w:jc w:val="center"/>
              <w:textAlignment w:val="center"/>
              <w:rPr>
                <w:rFonts w:ascii="宋体" w:hAnsi="宋体" w:cs="宋体"/>
                <w:b/>
                <w:kern w:val="0"/>
                <w:sz w:val="24"/>
              </w:rPr>
            </w:pPr>
          </w:p>
        </w:tc>
        <w:tc>
          <w:tcPr>
            <w:tcW w:w="2525"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cs="宋体"/>
                <w:b/>
                <w:color w:val="FF0000"/>
                <w:sz w:val="22"/>
                <w:szCs w:val="22"/>
                <w:u w:val="single"/>
              </w:rPr>
            </w:pPr>
            <w:r>
              <w:rPr>
                <w:rFonts w:hint="eastAsia" w:ascii="宋体" w:hAnsi="宋体" w:cs="宋体"/>
                <w:b/>
                <w:color w:val="FF0000"/>
                <w:kern w:val="0"/>
                <w:sz w:val="22"/>
                <w:szCs w:val="22"/>
                <w:u w:val="single"/>
              </w:rPr>
              <w:t>删除：19.积极参与宣教处组织的重大主题宣传策划活动的</w:t>
            </w:r>
          </w:p>
        </w:tc>
        <w:tc>
          <w:tcPr>
            <w:tcW w:w="779"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宋体" w:hAnsi="宋体" w:cs="宋体"/>
                <w:kern w:val="0"/>
                <w:sz w:val="22"/>
                <w:szCs w:val="22"/>
              </w:rPr>
            </w:pPr>
          </w:p>
        </w:tc>
        <w:tc>
          <w:tcPr>
            <w:tcW w:w="410" w:type="pct"/>
            <w:tcBorders>
              <w:left w:val="single" w:color="auto" w:sz="4" w:space="0"/>
              <w:right w:val="single" w:color="auto" w:sz="4" w:space="0"/>
            </w:tcBorders>
            <w:vAlign w:val="center"/>
          </w:tcPr>
          <w:p>
            <w:pPr>
              <w:widowControl/>
              <w:jc w:val="center"/>
              <w:textAlignment w:val="center"/>
              <w:rPr>
                <w:rFonts w:ascii="宋体" w:hAnsi="宋体" w:cs="宋体"/>
                <w:kern w:val="0"/>
                <w:sz w:val="24"/>
              </w:rPr>
            </w:pPr>
          </w:p>
        </w:tc>
        <w:tc>
          <w:tcPr>
            <w:tcW w:w="730" w:type="pct"/>
            <w:tcBorders>
              <w:left w:val="single" w:color="auto" w:sz="4" w:space="0"/>
              <w:right w:val="single" w:color="auto" w:sz="4" w:space="0"/>
            </w:tcBorders>
            <w:vAlign w:val="center"/>
          </w:tcPr>
          <w:p>
            <w:pPr>
              <w:jc w:val="left"/>
              <w:rPr>
                <w:rFonts w:ascii="宋体" w:hAnsi="宋体" w:cs="宋体"/>
                <w:sz w:val="24"/>
              </w:rPr>
            </w:pPr>
          </w:p>
        </w:tc>
      </w:tr>
      <w:tr>
        <w:tblPrEx>
          <w:tblCellMar>
            <w:top w:w="15" w:type="dxa"/>
            <w:left w:w="15" w:type="dxa"/>
            <w:bottom w:w="15" w:type="dxa"/>
            <w:right w:w="15" w:type="dxa"/>
          </w:tblCellMar>
        </w:tblPrEx>
        <w:trPr>
          <w:trHeight w:val="459" w:hRule="atLeast"/>
        </w:trPr>
        <w:tc>
          <w:tcPr>
            <w:tcW w:w="556"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sz w:val="24"/>
              </w:rPr>
            </w:pPr>
            <w:r>
              <w:rPr>
                <w:rFonts w:hint="eastAsia" w:ascii="宋体" w:hAnsi="宋体" w:cs="宋体"/>
                <w:b/>
                <w:kern w:val="0"/>
                <w:sz w:val="24"/>
              </w:rPr>
              <w:t>三、创造先进经验</w:t>
            </w:r>
          </w:p>
        </w:tc>
        <w:tc>
          <w:tcPr>
            <w:tcW w:w="2525"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sz w:val="22"/>
                <w:szCs w:val="22"/>
              </w:rPr>
            </w:pPr>
            <w:r>
              <w:rPr>
                <w:rFonts w:ascii="宋体" w:hAnsi="宋体" w:cs="宋体"/>
                <w:kern w:val="0"/>
                <w:sz w:val="22"/>
                <w:szCs w:val="22"/>
              </w:rPr>
              <w:t>18</w:t>
            </w:r>
            <w:r>
              <w:rPr>
                <w:rFonts w:hint="eastAsia" w:ascii="宋体" w:hAnsi="宋体" w:cs="宋体"/>
                <w:kern w:val="0"/>
                <w:sz w:val="22"/>
                <w:szCs w:val="22"/>
              </w:rPr>
              <w:t>.在全国法院系统创造出有影响的先进经验，被最高人民法院在全国机关推广的</w:t>
            </w:r>
          </w:p>
        </w:tc>
        <w:tc>
          <w:tcPr>
            <w:tcW w:w="779"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sz w:val="22"/>
                <w:szCs w:val="22"/>
              </w:rPr>
            </w:pPr>
            <w:r>
              <w:rPr>
                <w:rFonts w:hint="eastAsia" w:ascii="宋体" w:hAnsi="宋体" w:cs="宋体"/>
                <w:kern w:val="0"/>
                <w:sz w:val="22"/>
                <w:szCs w:val="22"/>
              </w:rPr>
              <w:t>每项加1分</w:t>
            </w:r>
          </w:p>
        </w:tc>
        <w:tc>
          <w:tcPr>
            <w:tcW w:w="410" w:type="pct"/>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sz w:val="24"/>
              </w:rPr>
            </w:pPr>
            <w:r>
              <w:rPr>
                <w:rFonts w:hint="eastAsia" w:ascii="宋体" w:hAnsi="宋体" w:cs="宋体"/>
                <w:kern w:val="0"/>
                <w:sz w:val="20"/>
                <w:szCs w:val="20"/>
              </w:rPr>
              <w:t>研究室</w:t>
            </w:r>
          </w:p>
        </w:tc>
        <w:tc>
          <w:tcPr>
            <w:tcW w:w="730" w:type="pct"/>
            <w:vMerge w:val="restart"/>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rPr>
            </w:pPr>
          </w:p>
        </w:tc>
      </w:tr>
      <w:tr>
        <w:tblPrEx>
          <w:tblCellMar>
            <w:top w:w="15" w:type="dxa"/>
            <w:left w:w="15" w:type="dxa"/>
            <w:bottom w:w="15" w:type="dxa"/>
            <w:right w:w="15" w:type="dxa"/>
          </w:tblCellMar>
        </w:tblPrEx>
        <w:trPr>
          <w:trHeight w:val="345" w:hRule="atLeast"/>
        </w:trPr>
        <w:tc>
          <w:tcPr>
            <w:tcW w:w="556" w:type="pct"/>
            <w:vMerge w:val="continue"/>
            <w:tcBorders>
              <w:top w:val="single" w:color="auto" w:sz="4" w:space="0"/>
              <w:left w:val="single" w:color="auto" w:sz="4" w:space="0"/>
              <w:right w:val="single" w:color="000000" w:sz="4" w:space="0"/>
            </w:tcBorders>
            <w:vAlign w:val="center"/>
          </w:tcPr>
          <w:p>
            <w:pPr>
              <w:jc w:val="center"/>
              <w:rPr>
                <w:rFonts w:ascii="宋体" w:hAnsi="宋体" w:cs="宋体"/>
                <w:b/>
                <w:sz w:val="24"/>
              </w:rPr>
            </w:pPr>
          </w:p>
        </w:tc>
        <w:tc>
          <w:tcPr>
            <w:tcW w:w="2525" w:type="pct"/>
            <w:tcBorders>
              <w:top w:val="single" w:color="auto"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ascii="宋体" w:hAnsi="宋体" w:cs="宋体"/>
                <w:sz w:val="22"/>
                <w:szCs w:val="22"/>
              </w:rPr>
            </w:pPr>
            <w:r>
              <w:rPr>
                <w:rFonts w:ascii="宋体" w:hAnsi="宋体" w:cs="宋体"/>
                <w:kern w:val="0"/>
                <w:sz w:val="22"/>
                <w:szCs w:val="22"/>
              </w:rPr>
              <w:t>19</w:t>
            </w:r>
            <w:r>
              <w:rPr>
                <w:rFonts w:hint="eastAsia" w:ascii="宋体" w:hAnsi="宋体" w:cs="宋体"/>
                <w:kern w:val="0"/>
                <w:sz w:val="22"/>
                <w:szCs w:val="22"/>
              </w:rPr>
              <w:t>.在全国法院院长会议上介绍经验的</w:t>
            </w:r>
          </w:p>
        </w:tc>
        <w:tc>
          <w:tcPr>
            <w:tcW w:w="779" w:type="pct"/>
            <w:tcBorders>
              <w:top w:val="single" w:color="auto"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ascii="宋体" w:hAnsi="宋体" w:cs="宋体"/>
                <w:sz w:val="22"/>
                <w:szCs w:val="22"/>
              </w:rPr>
            </w:pPr>
            <w:r>
              <w:rPr>
                <w:rFonts w:hint="eastAsia" w:ascii="宋体" w:hAnsi="宋体" w:cs="宋体"/>
                <w:kern w:val="0"/>
                <w:sz w:val="22"/>
                <w:szCs w:val="22"/>
              </w:rPr>
              <w:t>每次加0.5分</w:t>
            </w:r>
          </w:p>
        </w:tc>
        <w:tc>
          <w:tcPr>
            <w:tcW w:w="410" w:type="pct"/>
            <w:vMerge w:val="continue"/>
            <w:tcBorders>
              <w:left w:val="single" w:color="auto" w:sz="4" w:space="0"/>
              <w:right w:val="single" w:color="auto" w:sz="4" w:space="0"/>
            </w:tcBorders>
            <w:vAlign w:val="center"/>
          </w:tcPr>
          <w:p>
            <w:pPr>
              <w:jc w:val="center"/>
              <w:rPr>
                <w:rFonts w:ascii="宋体" w:hAnsi="宋体" w:cs="宋体"/>
                <w:sz w:val="24"/>
              </w:rPr>
            </w:pPr>
          </w:p>
        </w:tc>
        <w:tc>
          <w:tcPr>
            <w:tcW w:w="730" w:type="pct"/>
            <w:vMerge w:val="continue"/>
            <w:tcBorders>
              <w:top w:val="single" w:color="auto" w:sz="4" w:space="0"/>
              <w:left w:val="single" w:color="000000" w:sz="4" w:space="0"/>
              <w:right w:val="single" w:color="auto" w:sz="4" w:space="0"/>
            </w:tcBorders>
            <w:vAlign w:val="center"/>
          </w:tcPr>
          <w:p>
            <w:pPr>
              <w:jc w:val="center"/>
              <w:rPr>
                <w:rFonts w:ascii="宋体" w:hAnsi="宋体" w:cs="宋体"/>
                <w:sz w:val="24"/>
              </w:rPr>
            </w:pPr>
          </w:p>
        </w:tc>
      </w:tr>
      <w:tr>
        <w:tblPrEx>
          <w:tblCellMar>
            <w:top w:w="15" w:type="dxa"/>
            <w:left w:w="15" w:type="dxa"/>
            <w:bottom w:w="15" w:type="dxa"/>
            <w:right w:w="15" w:type="dxa"/>
          </w:tblCellMar>
        </w:tblPrEx>
        <w:trPr>
          <w:trHeight w:val="420" w:hRule="atLeast"/>
        </w:trPr>
        <w:tc>
          <w:tcPr>
            <w:tcW w:w="556" w:type="pct"/>
            <w:vMerge w:val="continue"/>
            <w:tcBorders>
              <w:left w:val="single" w:color="auto" w:sz="4" w:space="0"/>
              <w:right w:val="single" w:color="000000" w:sz="4" w:space="0"/>
            </w:tcBorders>
            <w:vAlign w:val="center"/>
          </w:tcPr>
          <w:p>
            <w:pPr>
              <w:jc w:val="center"/>
              <w:rPr>
                <w:rFonts w:ascii="宋体" w:hAnsi="宋体" w:cs="宋体"/>
                <w:b/>
                <w:sz w:val="24"/>
              </w:rPr>
            </w:pPr>
          </w:p>
        </w:tc>
        <w:tc>
          <w:tcPr>
            <w:tcW w:w="2525" w:type="pc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ascii="宋体" w:hAnsi="宋体" w:cs="宋体"/>
                <w:sz w:val="22"/>
                <w:szCs w:val="22"/>
              </w:rPr>
            </w:pPr>
            <w:r>
              <w:rPr>
                <w:rFonts w:hint="eastAsia" w:ascii="宋体" w:hAnsi="宋体" w:cs="宋体"/>
                <w:kern w:val="0"/>
                <w:sz w:val="22"/>
                <w:szCs w:val="22"/>
              </w:rPr>
              <w:t>2</w:t>
            </w:r>
            <w:r>
              <w:rPr>
                <w:rFonts w:ascii="宋体" w:hAnsi="宋体" w:cs="宋体"/>
                <w:kern w:val="0"/>
                <w:sz w:val="22"/>
                <w:szCs w:val="22"/>
              </w:rPr>
              <w:t>0</w:t>
            </w:r>
            <w:r>
              <w:rPr>
                <w:rFonts w:hint="eastAsia" w:ascii="宋体" w:hAnsi="宋体" w:cs="宋体"/>
                <w:kern w:val="0"/>
                <w:sz w:val="22"/>
                <w:szCs w:val="22"/>
              </w:rPr>
              <w:t>.在全国法院系统专题会议上介绍经验的</w:t>
            </w:r>
          </w:p>
        </w:tc>
        <w:tc>
          <w:tcPr>
            <w:tcW w:w="779" w:type="pc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ascii="宋体" w:hAnsi="宋体" w:cs="宋体"/>
                <w:sz w:val="22"/>
                <w:szCs w:val="22"/>
              </w:rPr>
            </w:pPr>
            <w:r>
              <w:rPr>
                <w:rFonts w:hint="eastAsia" w:ascii="宋体" w:hAnsi="宋体" w:cs="宋体"/>
                <w:kern w:val="0"/>
                <w:sz w:val="22"/>
                <w:szCs w:val="22"/>
              </w:rPr>
              <w:t>每次加0.4分</w:t>
            </w:r>
          </w:p>
        </w:tc>
        <w:tc>
          <w:tcPr>
            <w:tcW w:w="410" w:type="pct"/>
            <w:vMerge w:val="continue"/>
            <w:tcBorders>
              <w:left w:val="single" w:color="auto" w:sz="4" w:space="0"/>
              <w:right w:val="single" w:color="auto" w:sz="4" w:space="0"/>
            </w:tcBorders>
            <w:vAlign w:val="center"/>
          </w:tcPr>
          <w:p>
            <w:pPr>
              <w:jc w:val="center"/>
              <w:rPr>
                <w:rFonts w:ascii="宋体" w:hAnsi="宋体" w:cs="宋体"/>
                <w:sz w:val="24"/>
              </w:rPr>
            </w:pPr>
          </w:p>
        </w:tc>
        <w:tc>
          <w:tcPr>
            <w:tcW w:w="730" w:type="pct"/>
            <w:vMerge w:val="continue"/>
            <w:tcBorders>
              <w:top w:val="single" w:color="000000" w:sz="4" w:space="0"/>
              <w:left w:val="single" w:color="000000" w:sz="4" w:space="0"/>
              <w:right w:val="single" w:color="auto" w:sz="4" w:space="0"/>
            </w:tcBorders>
            <w:vAlign w:val="center"/>
          </w:tcPr>
          <w:p>
            <w:pPr>
              <w:jc w:val="center"/>
              <w:rPr>
                <w:rFonts w:ascii="宋体" w:hAnsi="宋体" w:cs="宋体"/>
                <w:sz w:val="24"/>
              </w:rPr>
            </w:pPr>
          </w:p>
        </w:tc>
      </w:tr>
      <w:tr>
        <w:tblPrEx>
          <w:tblCellMar>
            <w:top w:w="15" w:type="dxa"/>
            <w:left w:w="15" w:type="dxa"/>
            <w:bottom w:w="15" w:type="dxa"/>
            <w:right w:w="15" w:type="dxa"/>
          </w:tblCellMar>
        </w:tblPrEx>
        <w:trPr>
          <w:trHeight w:val="360" w:hRule="atLeast"/>
        </w:trPr>
        <w:tc>
          <w:tcPr>
            <w:tcW w:w="556" w:type="pct"/>
            <w:vMerge w:val="continue"/>
            <w:tcBorders>
              <w:left w:val="single" w:color="auto" w:sz="4" w:space="0"/>
              <w:right w:val="single" w:color="000000" w:sz="4" w:space="0"/>
            </w:tcBorders>
            <w:vAlign w:val="center"/>
          </w:tcPr>
          <w:p>
            <w:pPr>
              <w:jc w:val="center"/>
              <w:rPr>
                <w:rFonts w:ascii="宋体" w:hAnsi="宋体" w:cs="宋体"/>
                <w:b/>
                <w:sz w:val="24"/>
              </w:rPr>
            </w:pPr>
          </w:p>
        </w:tc>
        <w:tc>
          <w:tcPr>
            <w:tcW w:w="2525" w:type="pc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ascii="宋体" w:hAnsi="宋体" w:cs="宋体"/>
                <w:sz w:val="22"/>
                <w:szCs w:val="22"/>
              </w:rPr>
            </w:pPr>
            <w:r>
              <w:rPr>
                <w:rFonts w:hint="eastAsia" w:ascii="宋体" w:hAnsi="宋体" w:cs="宋体"/>
                <w:kern w:val="0"/>
                <w:sz w:val="22"/>
                <w:szCs w:val="22"/>
              </w:rPr>
              <w:t>2</w:t>
            </w:r>
            <w:r>
              <w:rPr>
                <w:rFonts w:ascii="宋体" w:hAnsi="宋体" w:cs="宋体"/>
                <w:kern w:val="0"/>
                <w:sz w:val="22"/>
                <w:szCs w:val="22"/>
              </w:rPr>
              <w:t>1</w:t>
            </w:r>
            <w:r>
              <w:rPr>
                <w:rFonts w:hint="eastAsia" w:ascii="宋体" w:hAnsi="宋体" w:cs="宋体"/>
                <w:kern w:val="0"/>
                <w:sz w:val="22"/>
                <w:szCs w:val="22"/>
              </w:rPr>
              <w:t>.在全省专项工作会议上介绍经验的</w:t>
            </w:r>
          </w:p>
        </w:tc>
        <w:tc>
          <w:tcPr>
            <w:tcW w:w="779" w:type="pc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ascii="宋体" w:hAnsi="宋体" w:cs="宋体"/>
                <w:sz w:val="22"/>
                <w:szCs w:val="22"/>
              </w:rPr>
            </w:pPr>
            <w:r>
              <w:rPr>
                <w:rFonts w:hint="eastAsia" w:ascii="宋体" w:hAnsi="宋体" w:cs="宋体"/>
                <w:kern w:val="0"/>
                <w:sz w:val="22"/>
                <w:szCs w:val="22"/>
              </w:rPr>
              <w:t>每次加0.3分</w:t>
            </w:r>
          </w:p>
        </w:tc>
        <w:tc>
          <w:tcPr>
            <w:tcW w:w="410" w:type="pct"/>
            <w:vMerge w:val="continue"/>
            <w:tcBorders>
              <w:left w:val="single" w:color="auto" w:sz="4" w:space="0"/>
              <w:right w:val="single" w:color="auto" w:sz="4" w:space="0"/>
            </w:tcBorders>
            <w:vAlign w:val="center"/>
          </w:tcPr>
          <w:p>
            <w:pPr>
              <w:jc w:val="center"/>
              <w:rPr>
                <w:rFonts w:ascii="宋体" w:hAnsi="宋体" w:cs="宋体"/>
                <w:sz w:val="24"/>
              </w:rPr>
            </w:pPr>
          </w:p>
        </w:tc>
        <w:tc>
          <w:tcPr>
            <w:tcW w:w="730" w:type="pct"/>
            <w:vMerge w:val="continue"/>
            <w:tcBorders>
              <w:top w:val="single" w:color="000000" w:sz="4" w:space="0"/>
              <w:left w:val="single" w:color="000000" w:sz="4" w:space="0"/>
              <w:right w:val="single" w:color="auto" w:sz="4" w:space="0"/>
            </w:tcBorders>
            <w:vAlign w:val="center"/>
          </w:tcPr>
          <w:p>
            <w:pPr>
              <w:jc w:val="center"/>
              <w:rPr>
                <w:rFonts w:ascii="宋体" w:hAnsi="宋体" w:cs="宋体"/>
                <w:sz w:val="24"/>
              </w:rPr>
            </w:pPr>
          </w:p>
        </w:tc>
      </w:tr>
      <w:tr>
        <w:tblPrEx>
          <w:tblCellMar>
            <w:top w:w="15" w:type="dxa"/>
            <w:left w:w="15" w:type="dxa"/>
            <w:bottom w:w="15" w:type="dxa"/>
            <w:right w:w="15" w:type="dxa"/>
          </w:tblCellMar>
        </w:tblPrEx>
        <w:trPr>
          <w:trHeight w:val="415" w:hRule="atLeast"/>
        </w:trPr>
        <w:tc>
          <w:tcPr>
            <w:tcW w:w="556" w:type="pct"/>
            <w:vMerge w:val="continue"/>
            <w:tcBorders>
              <w:left w:val="single" w:color="auto" w:sz="4" w:space="0"/>
              <w:right w:val="single" w:color="000000" w:sz="4" w:space="0"/>
            </w:tcBorders>
            <w:vAlign w:val="center"/>
          </w:tcPr>
          <w:p>
            <w:pPr>
              <w:jc w:val="center"/>
              <w:rPr>
                <w:rFonts w:ascii="宋体" w:hAnsi="宋体" w:cs="宋体"/>
                <w:b/>
                <w:sz w:val="24"/>
              </w:rPr>
            </w:pPr>
          </w:p>
        </w:tc>
        <w:tc>
          <w:tcPr>
            <w:tcW w:w="2525" w:type="pct"/>
            <w:tcBorders>
              <w:left w:val="single" w:color="000000" w:sz="4" w:space="0"/>
              <w:bottom w:val="single" w:color="000000" w:sz="4" w:space="0"/>
              <w:right w:val="single" w:color="000000" w:sz="4" w:space="0"/>
            </w:tcBorders>
            <w:vAlign w:val="center"/>
          </w:tcPr>
          <w:p>
            <w:pPr>
              <w:widowControl/>
              <w:spacing w:line="500" w:lineRule="exact"/>
              <w:jc w:val="left"/>
              <w:textAlignment w:val="center"/>
              <w:rPr>
                <w:rFonts w:ascii="宋体" w:hAnsi="宋体" w:cs="宋体"/>
                <w:sz w:val="22"/>
                <w:szCs w:val="22"/>
              </w:rPr>
            </w:pPr>
            <w:r>
              <w:rPr>
                <w:rFonts w:hint="eastAsia" w:ascii="宋体" w:hAnsi="宋体" w:cs="宋体"/>
                <w:kern w:val="0"/>
                <w:sz w:val="22"/>
                <w:szCs w:val="22"/>
              </w:rPr>
              <w:t>2</w:t>
            </w:r>
            <w:r>
              <w:rPr>
                <w:rFonts w:ascii="宋体" w:hAnsi="宋体" w:cs="宋体"/>
                <w:kern w:val="0"/>
                <w:sz w:val="22"/>
                <w:szCs w:val="22"/>
              </w:rPr>
              <w:t>2</w:t>
            </w:r>
            <w:r>
              <w:rPr>
                <w:rFonts w:hint="eastAsia" w:ascii="宋体" w:hAnsi="宋体" w:cs="宋体"/>
                <w:kern w:val="0"/>
                <w:sz w:val="22"/>
                <w:szCs w:val="22"/>
              </w:rPr>
              <w:t>.先进经验被省委、省政府相关管理部门在省直机关中推广的</w:t>
            </w:r>
          </w:p>
        </w:tc>
        <w:tc>
          <w:tcPr>
            <w:tcW w:w="779" w:type="pc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ascii="宋体" w:hAnsi="宋体" w:cs="宋体"/>
                <w:sz w:val="22"/>
                <w:szCs w:val="22"/>
              </w:rPr>
            </w:pPr>
            <w:r>
              <w:rPr>
                <w:rFonts w:hint="eastAsia" w:ascii="宋体" w:hAnsi="宋体" w:cs="宋体"/>
                <w:kern w:val="0"/>
                <w:sz w:val="22"/>
                <w:szCs w:val="22"/>
              </w:rPr>
              <w:t>每次加0.2分</w:t>
            </w:r>
          </w:p>
        </w:tc>
        <w:tc>
          <w:tcPr>
            <w:tcW w:w="410" w:type="pct"/>
            <w:vMerge w:val="continue"/>
            <w:tcBorders>
              <w:left w:val="single" w:color="auto" w:sz="4" w:space="0"/>
              <w:right w:val="single" w:color="auto" w:sz="4" w:space="0"/>
            </w:tcBorders>
            <w:vAlign w:val="center"/>
          </w:tcPr>
          <w:p>
            <w:pPr>
              <w:jc w:val="center"/>
              <w:rPr>
                <w:rFonts w:ascii="宋体" w:hAnsi="宋体" w:cs="宋体"/>
                <w:sz w:val="24"/>
              </w:rPr>
            </w:pPr>
          </w:p>
        </w:tc>
        <w:tc>
          <w:tcPr>
            <w:tcW w:w="730" w:type="pct"/>
            <w:vMerge w:val="continue"/>
            <w:tcBorders>
              <w:top w:val="single" w:color="000000" w:sz="4" w:space="0"/>
              <w:left w:val="single" w:color="000000" w:sz="4" w:space="0"/>
              <w:right w:val="single" w:color="auto" w:sz="4" w:space="0"/>
            </w:tcBorders>
            <w:vAlign w:val="center"/>
          </w:tcPr>
          <w:p>
            <w:pPr>
              <w:jc w:val="center"/>
              <w:rPr>
                <w:rFonts w:ascii="宋体" w:hAnsi="宋体" w:cs="宋体"/>
                <w:sz w:val="24"/>
              </w:rPr>
            </w:pPr>
          </w:p>
        </w:tc>
      </w:tr>
      <w:tr>
        <w:tblPrEx>
          <w:tblCellMar>
            <w:top w:w="15" w:type="dxa"/>
            <w:left w:w="15" w:type="dxa"/>
            <w:bottom w:w="15" w:type="dxa"/>
            <w:right w:w="15" w:type="dxa"/>
          </w:tblCellMar>
        </w:tblPrEx>
        <w:trPr>
          <w:trHeight w:val="430" w:hRule="atLeast"/>
        </w:trPr>
        <w:tc>
          <w:tcPr>
            <w:tcW w:w="556" w:type="pct"/>
            <w:vMerge w:val="continue"/>
            <w:tcBorders>
              <w:left w:val="single" w:color="auto" w:sz="4" w:space="0"/>
              <w:right w:val="single" w:color="000000" w:sz="4" w:space="0"/>
            </w:tcBorders>
            <w:vAlign w:val="center"/>
          </w:tcPr>
          <w:p>
            <w:pPr>
              <w:jc w:val="center"/>
              <w:rPr>
                <w:rFonts w:ascii="宋体" w:hAnsi="宋体" w:cs="宋体"/>
                <w:b/>
                <w:sz w:val="24"/>
              </w:rPr>
            </w:pPr>
          </w:p>
        </w:tc>
        <w:tc>
          <w:tcPr>
            <w:tcW w:w="2525" w:type="pct"/>
            <w:tcBorders>
              <w:left w:val="single" w:color="000000" w:sz="4" w:space="0"/>
              <w:bottom w:val="single" w:color="000000" w:sz="4" w:space="0"/>
              <w:right w:val="single" w:color="000000" w:sz="4" w:space="0"/>
            </w:tcBorders>
            <w:vAlign w:val="center"/>
          </w:tcPr>
          <w:p>
            <w:pPr>
              <w:widowControl/>
              <w:spacing w:line="500" w:lineRule="exact"/>
              <w:jc w:val="left"/>
              <w:textAlignment w:val="center"/>
              <w:rPr>
                <w:rFonts w:ascii="宋体" w:hAnsi="宋体" w:cs="宋体"/>
                <w:sz w:val="22"/>
                <w:szCs w:val="22"/>
              </w:rPr>
            </w:pPr>
            <w:r>
              <w:rPr>
                <w:rFonts w:hint="eastAsia" w:ascii="宋体" w:hAnsi="宋体" w:cs="宋体"/>
                <w:kern w:val="0"/>
                <w:sz w:val="22"/>
                <w:szCs w:val="22"/>
              </w:rPr>
              <w:t>2</w:t>
            </w:r>
            <w:r>
              <w:rPr>
                <w:rFonts w:ascii="宋体" w:hAnsi="宋体" w:cs="宋体"/>
                <w:kern w:val="0"/>
                <w:sz w:val="22"/>
                <w:szCs w:val="22"/>
              </w:rPr>
              <w:t>3</w:t>
            </w:r>
            <w:r>
              <w:rPr>
                <w:rFonts w:hint="eastAsia" w:ascii="宋体" w:hAnsi="宋体" w:cs="宋体"/>
                <w:kern w:val="0"/>
                <w:sz w:val="22"/>
                <w:szCs w:val="22"/>
              </w:rPr>
              <w:t>.先进经验被市委、市政府相关管理部门在市直机关中推广的</w:t>
            </w:r>
          </w:p>
        </w:tc>
        <w:tc>
          <w:tcPr>
            <w:tcW w:w="779" w:type="pct"/>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ascii="宋体" w:hAnsi="宋体" w:cs="宋体"/>
                <w:sz w:val="22"/>
                <w:szCs w:val="22"/>
              </w:rPr>
            </w:pPr>
            <w:r>
              <w:rPr>
                <w:rFonts w:hint="eastAsia" w:ascii="宋体" w:hAnsi="宋体" w:cs="宋体"/>
                <w:kern w:val="0"/>
                <w:sz w:val="22"/>
                <w:szCs w:val="22"/>
              </w:rPr>
              <w:t>每次加0.1分</w:t>
            </w:r>
          </w:p>
        </w:tc>
        <w:tc>
          <w:tcPr>
            <w:tcW w:w="410" w:type="pct"/>
            <w:vMerge w:val="continue"/>
            <w:tcBorders>
              <w:left w:val="single" w:color="auto" w:sz="4" w:space="0"/>
              <w:right w:val="single" w:color="auto" w:sz="4" w:space="0"/>
            </w:tcBorders>
            <w:vAlign w:val="center"/>
          </w:tcPr>
          <w:p>
            <w:pPr>
              <w:jc w:val="center"/>
              <w:rPr>
                <w:rFonts w:ascii="宋体" w:hAnsi="宋体" w:cs="宋体"/>
                <w:sz w:val="24"/>
              </w:rPr>
            </w:pPr>
          </w:p>
        </w:tc>
        <w:tc>
          <w:tcPr>
            <w:tcW w:w="730" w:type="pct"/>
            <w:vMerge w:val="continue"/>
            <w:tcBorders>
              <w:top w:val="single" w:color="000000" w:sz="4" w:space="0"/>
              <w:left w:val="single" w:color="000000" w:sz="4" w:space="0"/>
              <w:right w:val="single" w:color="auto" w:sz="4" w:space="0"/>
            </w:tcBorders>
            <w:vAlign w:val="center"/>
          </w:tcPr>
          <w:p>
            <w:pPr>
              <w:jc w:val="center"/>
              <w:rPr>
                <w:rFonts w:ascii="宋体" w:hAnsi="宋体" w:cs="宋体"/>
                <w:sz w:val="24"/>
              </w:rPr>
            </w:pPr>
          </w:p>
        </w:tc>
      </w:tr>
      <w:tr>
        <w:tblPrEx>
          <w:tblCellMar>
            <w:top w:w="15" w:type="dxa"/>
            <w:left w:w="15" w:type="dxa"/>
            <w:bottom w:w="15" w:type="dxa"/>
            <w:right w:w="15" w:type="dxa"/>
          </w:tblCellMar>
        </w:tblPrEx>
        <w:trPr>
          <w:trHeight w:val="534" w:hRule="atLeast"/>
        </w:trPr>
        <w:tc>
          <w:tcPr>
            <w:tcW w:w="556" w:type="pct"/>
            <w:vMerge w:val="restart"/>
            <w:tcBorders>
              <w:top w:val="single" w:color="auto" w:sz="4" w:space="0"/>
              <w:left w:val="single" w:color="000000" w:sz="4" w:space="0"/>
              <w:right w:val="single" w:color="000000" w:sz="4" w:space="0"/>
            </w:tcBorders>
            <w:vAlign w:val="center"/>
          </w:tcPr>
          <w:p>
            <w:pPr>
              <w:widowControl/>
              <w:jc w:val="center"/>
              <w:textAlignment w:val="center"/>
              <w:rPr>
                <w:rFonts w:ascii="宋体" w:hAnsi="宋体" w:cs="宋体"/>
                <w:b/>
                <w:kern w:val="0"/>
                <w:sz w:val="24"/>
              </w:rPr>
            </w:pPr>
            <w:r>
              <w:rPr>
                <w:rFonts w:hint="eastAsia" w:ascii="宋体" w:hAnsi="宋体" w:cs="宋体"/>
                <w:b/>
                <w:kern w:val="0"/>
                <w:sz w:val="24"/>
              </w:rPr>
              <w:t>四、信息稿件采用</w:t>
            </w:r>
          </w:p>
        </w:tc>
        <w:tc>
          <w:tcPr>
            <w:tcW w:w="2525"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hint="eastAsia" w:ascii="宋体" w:hAnsi="宋体" w:cs="宋体"/>
                <w:kern w:val="0"/>
                <w:sz w:val="22"/>
                <w:szCs w:val="22"/>
              </w:rPr>
              <w:t>2</w:t>
            </w:r>
            <w:r>
              <w:rPr>
                <w:rFonts w:ascii="宋体" w:hAnsi="宋体" w:cs="宋体"/>
                <w:kern w:val="0"/>
                <w:sz w:val="22"/>
                <w:szCs w:val="22"/>
              </w:rPr>
              <w:t>4</w:t>
            </w:r>
            <w:r>
              <w:rPr>
                <w:rFonts w:hint="eastAsia" w:ascii="宋体" w:hAnsi="宋体" w:cs="宋体"/>
                <w:kern w:val="0"/>
                <w:sz w:val="22"/>
                <w:szCs w:val="22"/>
              </w:rPr>
              <w:t>.报送的信息稿件被最高人民法院、省委政法委、省委办公厅、省委改革办等信息载体采用的</w:t>
            </w:r>
          </w:p>
        </w:tc>
        <w:tc>
          <w:tcPr>
            <w:tcW w:w="779"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hint="eastAsia" w:ascii="宋体" w:hAnsi="宋体" w:cs="宋体"/>
                <w:kern w:val="0"/>
                <w:sz w:val="22"/>
                <w:szCs w:val="22"/>
              </w:rPr>
              <w:t>每篇加1分</w:t>
            </w:r>
          </w:p>
        </w:tc>
        <w:tc>
          <w:tcPr>
            <w:tcW w:w="410" w:type="pct"/>
            <w:vMerge w:val="restart"/>
            <w:tcBorders>
              <w:top w:val="single" w:color="auto" w:sz="4" w:space="0"/>
              <w:left w:val="single" w:color="000000" w:sz="4" w:space="0"/>
              <w:right w:val="single" w:color="000000" w:sz="4" w:space="0"/>
            </w:tcBorders>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办公室</w:t>
            </w:r>
          </w:p>
        </w:tc>
        <w:tc>
          <w:tcPr>
            <w:tcW w:w="730" w:type="pct"/>
            <w:vMerge w:val="restart"/>
            <w:tcBorders>
              <w:top w:val="single" w:color="auto" w:sz="4" w:space="0"/>
              <w:left w:val="single" w:color="000000" w:sz="4" w:space="0"/>
              <w:right w:val="single" w:color="000000" w:sz="4" w:space="0"/>
            </w:tcBorders>
            <w:vAlign w:val="center"/>
          </w:tcPr>
          <w:p>
            <w:pPr>
              <w:widowControl/>
              <w:numPr>
                <w:ilvl w:val="0"/>
                <w:numId w:val="7"/>
              </w:numPr>
              <w:jc w:val="left"/>
              <w:textAlignment w:val="center"/>
              <w:rPr>
                <w:rFonts w:ascii="宋体" w:hAnsi="宋体" w:cs="宋体"/>
                <w:kern w:val="0"/>
                <w:sz w:val="20"/>
                <w:szCs w:val="20"/>
              </w:rPr>
            </w:pPr>
            <w:r>
              <w:rPr>
                <w:rFonts w:hint="eastAsia" w:ascii="宋体" w:hAnsi="宋体" w:cs="宋体"/>
                <w:kern w:val="0"/>
                <w:sz w:val="20"/>
                <w:szCs w:val="20"/>
              </w:rPr>
              <w:t>对属于部门职责范围内应正常完成的信息任务不予加分。</w:t>
            </w:r>
          </w:p>
          <w:p>
            <w:pPr>
              <w:jc w:val="left"/>
              <w:rPr>
                <w:rFonts w:ascii="宋体" w:hAnsi="宋体" w:cs="宋体"/>
                <w:kern w:val="0"/>
                <w:sz w:val="20"/>
                <w:szCs w:val="20"/>
              </w:rPr>
            </w:pPr>
            <w:r>
              <w:rPr>
                <w:rFonts w:hint="eastAsia" w:ascii="宋体" w:hAnsi="宋体" w:cs="宋体"/>
                <w:kern w:val="0"/>
                <w:sz w:val="20"/>
                <w:szCs w:val="20"/>
              </w:rPr>
              <w:t>2.信息采用加分与领导批示加分累计计算，符合多项加分条件的，按照最高标准加分。</w:t>
            </w:r>
          </w:p>
        </w:tc>
      </w:tr>
      <w:tr>
        <w:tblPrEx>
          <w:tblCellMar>
            <w:top w:w="15" w:type="dxa"/>
            <w:left w:w="15" w:type="dxa"/>
            <w:bottom w:w="15" w:type="dxa"/>
            <w:right w:w="15" w:type="dxa"/>
          </w:tblCellMar>
        </w:tblPrEx>
        <w:trPr>
          <w:trHeight w:val="449" w:hRule="atLeast"/>
        </w:trPr>
        <w:tc>
          <w:tcPr>
            <w:tcW w:w="556" w:type="pct"/>
            <w:vMerge w:val="continue"/>
            <w:tcBorders>
              <w:left w:val="single" w:color="000000" w:sz="4" w:space="0"/>
              <w:right w:val="single" w:color="000000" w:sz="4" w:space="0"/>
            </w:tcBorders>
            <w:vAlign w:val="center"/>
          </w:tcPr>
          <w:p>
            <w:pPr>
              <w:widowControl/>
              <w:jc w:val="center"/>
              <w:textAlignment w:val="center"/>
              <w:rPr>
                <w:rFonts w:ascii="宋体" w:hAnsi="宋体" w:cs="宋体"/>
                <w:b/>
                <w:kern w:val="0"/>
                <w:sz w:val="24"/>
              </w:rPr>
            </w:pPr>
          </w:p>
        </w:tc>
        <w:tc>
          <w:tcPr>
            <w:tcW w:w="2525"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hint="eastAsia" w:ascii="宋体" w:hAnsi="宋体" w:cs="宋体"/>
                <w:kern w:val="0"/>
                <w:sz w:val="22"/>
                <w:szCs w:val="22"/>
              </w:rPr>
              <w:t>2</w:t>
            </w:r>
            <w:r>
              <w:rPr>
                <w:rFonts w:ascii="宋体" w:hAnsi="宋体" w:cs="宋体"/>
                <w:kern w:val="0"/>
                <w:sz w:val="22"/>
                <w:szCs w:val="22"/>
              </w:rPr>
              <w:t>5</w:t>
            </w:r>
            <w:r>
              <w:rPr>
                <w:rFonts w:hint="eastAsia" w:ascii="宋体" w:hAnsi="宋体" w:cs="宋体"/>
                <w:kern w:val="0"/>
                <w:sz w:val="22"/>
                <w:szCs w:val="22"/>
              </w:rPr>
              <w:t>.报送的信息稿件被省高院院长批示的</w:t>
            </w:r>
          </w:p>
        </w:tc>
        <w:tc>
          <w:tcPr>
            <w:tcW w:w="779"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hint="eastAsia" w:ascii="宋体" w:hAnsi="宋体" w:cs="宋体"/>
                <w:kern w:val="0"/>
                <w:sz w:val="22"/>
                <w:szCs w:val="22"/>
              </w:rPr>
              <w:t>每篇加0.5分</w:t>
            </w:r>
          </w:p>
        </w:tc>
        <w:tc>
          <w:tcPr>
            <w:tcW w:w="410" w:type="pct"/>
            <w:vMerge w:val="continue"/>
            <w:tcBorders>
              <w:left w:val="single" w:color="000000" w:sz="4" w:space="0"/>
              <w:right w:val="single" w:color="000000" w:sz="4" w:space="0"/>
            </w:tcBorders>
            <w:vAlign w:val="center"/>
          </w:tcPr>
          <w:p>
            <w:pPr>
              <w:widowControl/>
              <w:jc w:val="center"/>
              <w:textAlignment w:val="center"/>
              <w:rPr>
                <w:rFonts w:ascii="宋体" w:hAnsi="宋体" w:cs="宋体"/>
                <w:kern w:val="0"/>
                <w:sz w:val="20"/>
                <w:szCs w:val="20"/>
              </w:rPr>
            </w:pPr>
          </w:p>
        </w:tc>
        <w:tc>
          <w:tcPr>
            <w:tcW w:w="730" w:type="pct"/>
            <w:vMerge w:val="continue"/>
            <w:tcBorders>
              <w:left w:val="single" w:color="000000" w:sz="4" w:space="0"/>
              <w:right w:val="single" w:color="000000" w:sz="4" w:space="0"/>
            </w:tcBorders>
            <w:vAlign w:val="center"/>
          </w:tcPr>
          <w:p>
            <w:pPr>
              <w:jc w:val="left"/>
              <w:rPr>
                <w:rFonts w:ascii="宋体" w:hAnsi="宋体" w:cs="宋体"/>
                <w:kern w:val="0"/>
                <w:sz w:val="20"/>
                <w:szCs w:val="20"/>
              </w:rPr>
            </w:pPr>
          </w:p>
        </w:tc>
      </w:tr>
      <w:tr>
        <w:tblPrEx>
          <w:tblCellMar>
            <w:top w:w="15" w:type="dxa"/>
            <w:left w:w="15" w:type="dxa"/>
            <w:bottom w:w="15" w:type="dxa"/>
            <w:right w:w="15" w:type="dxa"/>
          </w:tblCellMar>
        </w:tblPrEx>
        <w:trPr>
          <w:trHeight w:val="519" w:hRule="atLeast"/>
        </w:trPr>
        <w:tc>
          <w:tcPr>
            <w:tcW w:w="556" w:type="pct"/>
            <w:vMerge w:val="continue"/>
            <w:tcBorders>
              <w:left w:val="single" w:color="000000" w:sz="4" w:space="0"/>
              <w:right w:val="single" w:color="000000" w:sz="4" w:space="0"/>
            </w:tcBorders>
            <w:vAlign w:val="center"/>
          </w:tcPr>
          <w:p>
            <w:pPr>
              <w:widowControl/>
              <w:jc w:val="center"/>
              <w:textAlignment w:val="center"/>
              <w:rPr>
                <w:rFonts w:ascii="宋体" w:hAnsi="宋体" w:cs="宋体"/>
                <w:b/>
                <w:kern w:val="0"/>
                <w:sz w:val="24"/>
              </w:rPr>
            </w:pPr>
          </w:p>
        </w:tc>
        <w:tc>
          <w:tcPr>
            <w:tcW w:w="2525"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hint="eastAsia" w:ascii="宋体" w:hAnsi="宋体" w:cs="宋体"/>
                <w:kern w:val="0"/>
                <w:sz w:val="22"/>
                <w:szCs w:val="22"/>
              </w:rPr>
              <w:t>2</w:t>
            </w:r>
            <w:r>
              <w:rPr>
                <w:rFonts w:ascii="宋体" w:hAnsi="宋体" w:cs="宋体"/>
                <w:kern w:val="0"/>
                <w:sz w:val="22"/>
                <w:szCs w:val="22"/>
              </w:rPr>
              <w:t>6</w:t>
            </w:r>
            <w:r>
              <w:rPr>
                <w:rFonts w:hint="eastAsia" w:ascii="宋体" w:hAnsi="宋体" w:cs="宋体"/>
                <w:kern w:val="0"/>
                <w:sz w:val="22"/>
                <w:szCs w:val="22"/>
              </w:rPr>
              <w:t>.报送的信息稿件被省高院院领导批示的</w:t>
            </w:r>
          </w:p>
        </w:tc>
        <w:tc>
          <w:tcPr>
            <w:tcW w:w="779"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hint="eastAsia" w:ascii="宋体" w:hAnsi="宋体" w:cs="宋体"/>
                <w:kern w:val="0"/>
                <w:sz w:val="22"/>
                <w:szCs w:val="22"/>
              </w:rPr>
              <w:t>每篇加0.3分</w:t>
            </w:r>
          </w:p>
        </w:tc>
        <w:tc>
          <w:tcPr>
            <w:tcW w:w="410" w:type="pct"/>
            <w:vMerge w:val="continue"/>
            <w:tcBorders>
              <w:left w:val="single" w:color="000000" w:sz="4" w:space="0"/>
              <w:right w:val="single" w:color="000000" w:sz="4" w:space="0"/>
            </w:tcBorders>
            <w:vAlign w:val="center"/>
          </w:tcPr>
          <w:p>
            <w:pPr>
              <w:widowControl/>
              <w:jc w:val="center"/>
              <w:textAlignment w:val="center"/>
              <w:rPr>
                <w:rFonts w:ascii="宋体" w:hAnsi="宋体" w:cs="宋体"/>
                <w:kern w:val="0"/>
                <w:sz w:val="20"/>
                <w:szCs w:val="20"/>
              </w:rPr>
            </w:pPr>
          </w:p>
        </w:tc>
        <w:tc>
          <w:tcPr>
            <w:tcW w:w="730" w:type="pct"/>
            <w:vMerge w:val="continue"/>
            <w:tcBorders>
              <w:left w:val="single" w:color="000000" w:sz="4" w:space="0"/>
              <w:right w:val="single" w:color="000000" w:sz="4" w:space="0"/>
            </w:tcBorders>
            <w:vAlign w:val="center"/>
          </w:tcPr>
          <w:p>
            <w:pPr>
              <w:jc w:val="left"/>
              <w:rPr>
                <w:rFonts w:ascii="宋体" w:hAnsi="宋体" w:cs="宋体"/>
                <w:kern w:val="0"/>
                <w:sz w:val="20"/>
                <w:szCs w:val="20"/>
              </w:rPr>
            </w:pPr>
          </w:p>
        </w:tc>
      </w:tr>
      <w:tr>
        <w:tblPrEx>
          <w:tblCellMar>
            <w:top w:w="15" w:type="dxa"/>
            <w:left w:w="15" w:type="dxa"/>
            <w:bottom w:w="15" w:type="dxa"/>
            <w:right w:w="15" w:type="dxa"/>
          </w:tblCellMar>
        </w:tblPrEx>
        <w:trPr>
          <w:trHeight w:val="494" w:hRule="atLeast"/>
        </w:trPr>
        <w:tc>
          <w:tcPr>
            <w:tcW w:w="556" w:type="pct"/>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kern w:val="0"/>
                <w:sz w:val="24"/>
              </w:rPr>
            </w:pPr>
          </w:p>
        </w:tc>
        <w:tc>
          <w:tcPr>
            <w:tcW w:w="2525"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hint="eastAsia" w:ascii="宋体" w:hAnsi="宋体" w:cs="宋体"/>
                <w:kern w:val="0"/>
                <w:sz w:val="22"/>
                <w:szCs w:val="22"/>
              </w:rPr>
              <w:t>2</w:t>
            </w:r>
            <w:r>
              <w:rPr>
                <w:rFonts w:ascii="宋体" w:hAnsi="宋体" w:cs="宋体"/>
                <w:kern w:val="0"/>
                <w:sz w:val="22"/>
                <w:szCs w:val="22"/>
              </w:rPr>
              <w:t>7</w:t>
            </w:r>
            <w:r>
              <w:rPr>
                <w:rFonts w:hint="eastAsia" w:ascii="宋体" w:hAnsi="宋体" w:cs="宋体"/>
                <w:kern w:val="0"/>
                <w:sz w:val="22"/>
                <w:szCs w:val="22"/>
              </w:rPr>
              <w:t>.信息稿件被《吉林法院信息》采用的</w:t>
            </w:r>
          </w:p>
        </w:tc>
        <w:tc>
          <w:tcPr>
            <w:tcW w:w="779"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hint="eastAsia" w:ascii="宋体" w:hAnsi="宋体" w:cs="宋体"/>
                <w:kern w:val="0"/>
                <w:sz w:val="22"/>
                <w:szCs w:val="22"/>
              </w:rPr>
              <w:t>每篇加0.2分</w:t>
            </w:r>
          </w:p>
        </w:tc>
        <w:tc>
          <w:tcPr>
            <w:tcW w:w="410" w:type="pct"/>
            <w:vMerge w:val="restart"/>
            <w:tcBorders>
              <w:left w:val="single" w:color="000000" w:sz="4" w:space="0"/>
              <w:right w:val="single" w:color="000000" w:sz="4" w:space="0"/>
            </w:tcBorders>
            <w:vAlign w:val="center"/>
          </w:tcPr>
          <w:p>
            <w:pPr>
              <w:widowControl/>
              <w:tabs>
                <w:tab w:val="left" w:pos="303"/>
              </w:tabs>
              <w:jc w:val="left"/>
              <w:textAlignment w:val="center"/>
              <w:rPr>
                <w:rFonts w:ascii="宋体" w:hAnsi="宋体" w:cs="宋体"/>
                <w:kern w:val="0"/>
                <w:sz w:val="20"/>
                <w:szCs w:val="20"/>
              </w:rPr>
            </w:pPr>
            <w:r>
              <w:rPr>
                <w:rFonts w:hint="eastAsia" w:ascii="宋体" w:hAnsi="宋体" w:cs="宋体"/>
                <w:kern w:val="0"/>
                <w:sz w:val="20"/>
                <w:szCs w:val="20"/>
              </w:rPr>
              <w:tab/>
            </w:r>
            <w:r>
              <w:rPr>
                <w:rFonts w:hint="eastAsia" w:ascii="宋体" w:hAnsi="宋体" w:cs="宋体"/>
                <w:kern w:val="0"/>
                <w:sz w:val="20"/>
                <w:szCs w:val="20"/>
              </w:rPr>
              <w:t>办公室</w:t>
            </w:r>
          </w:p>
        </w:tc>
        <w:tc>
          <w:tcPr>
            <w:tcW w:w="730" w:type="pct"/>
            <w:vMerge w:val="continue"/>
            <w:tcBorders>
              <w:left w:val="single" w:color="000000" w:sz="4" w:space="0"/>
              <w:right w:val="single" w:color="000000" w:sz="4" w:space="0"/>
            </w:tcBorders>
            <w:vAlign w:val="center"/>
          </w:tcPr>
          <w:p>
            <w:pPr>
              <w:jc w:val="left"/>
              <w:rPr>
                <w:rFonts w:ascii="宋体" w:hAnsi="宋体" w:cs="宋体"/>
                <w:kern w:val="0"/>
                <w:sz w:val="20"/>
                <w:szCs w:val="20"/>
              </w:rPr>
            </w:pPr>
          </w:p>
        </w:tc>
      </w:tr>
      <w:tr>
        <w:tblPrEx>
          <w:tblCellMar>
            <w:top w:w="15" w:type="dxa"/>
            <w:left w:w="15" w:type="dxa"/>
            <w:bottom w:w="15" w:type="dxa"/>
            <w:right w:w="15" w:type="dxa"/>
          </w:tblCellMar>
        </w:tblPrEx>
        <w:trPr>
          <w:trHeight w:val="494" w:hRule="atLeast"/>
        </w:trPr>
        <w:tc>
          <w:tcPr>
            <w:tcW w:w="556" w:type="pct"/>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kern w:val="0"/>
                <w:sz w:val="24"/>
              </w:rPr>
            </w:pPr>
          </w:p>
        </w:tc>
        <w:tc>
          <w:tcPr>
            <w:tcW w:w="2525"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ascii="宋体" w:hAnsi="宋体" w:cs="宋体"/>
                <w:sz w:val="22"/>
                <w:szCs w:val="22"/>
              </w:rPr>
              <w:t>28</w:t>
            </w:r>
            <w:r>
              <w:rPr>
                <w:rFonts w:hint="eastAsia" w:ascii="宋体" w:hAnsi="宋体" w:cs="宋体"/>
                <w:sz w:val="22"/>
                <w:szCs w:val="22"/>
              </w:rPr>
              <w:t>.信息稿件被本院院长批示的</w:t>
            </w:r>
          </w:p>
        </w:tc>
        <w:tc>
          <w:tcPr>
            <w:tcW w:w="779"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hint="eastAsia" w:ascii="宋体" w:hAnsi="宋体" w:cs="宋体"/>
                <w:sz w:val="22"/>
                <w:szCs w:val="22"/>
              </w:rPr>
              <w:t>每篇加0.5分</w:t>
            </w:r>
          </w:p>
        </w:tc>
        <w:tc>
          <w:tcPr>
            <w:tcW w:w="410" w:type="pct"/>
            <w:vMerge w:val="continue"/>
            <w:tcBorders>
              <w:left w:val="single" w:color="000000" w:sz="4" w:space="0"/>
              <w:right w:val="single" w:color="000000" w:sz="4" w:space="0"/>
            </w:tcBorders>
            <w:vAlign w:val="center"/>
          </w:tcPr>
          <w:p>
            <w:pPr>
              <w:widowControl/>
              <w:jc w:val="center"/>
              <w:textAlignment w:val="center"/>
              <w:rPr>
                <w:rFonts w:ascii="宋体" w:hAnsi="宋体" w:cs="宋体"/>
                <w:kern w:val="0"/>
                <w:sz w:val="20"/>
                <w:szCs w:val="20"/>
              </w:rPr>
            </w:pPr>
          </w:p>
        </w:tc>
        <w:tc>
          <w:tcPr>
            <w:tcW w:w="730" w:type="pct"/>
            <w:vMerge w:val="continue"/>
            <w:tcBorders>
              <w:left w:val="single" w:color="000000" w:sz="4" w:space="0"/>
              <w:right w:val="single" w:color="000000" w:sz="4" w:space="0"/>
            </w:tcBorders>
            <w:vAlign w:val="center"/>
          </w:tcPr>
          <w:p>
            <w:pPr>
              <w:jc w:val="left"/>
              <w:rPr>
                <w:rFonts w:ascii="宋体" w:hAnsi="宋体" w:cs="宋体"/>
                <w:kern w:val="0"/>
                <w:sz w:val="20"/>
                <w:szCs w:val="20"/>
              </w:rPr>
            </w:pPr>
          </w:p>
        </w:tc>
      </w:tr>
      <w:tr>
        <w:tblPrEx>
          <w:tblCellMar>
            <w:top w:w="15" w:type="dxa"/>
            <w:left w:w="15" w:type="dxa"/>
            <w:bottom w:w="15" w:type="dxa"/>
            <w:right w:w="15" w:type="dxa"/>
          </w:tblCellMar>
        </w:tblPrEx>
        <w:trPr>
          <w:trHeight w:val="499" w:hRule="atLeast"/>
        </w:trPr>
        <w:tc>
          <w:tcPr>
            <w:tcW w:w="556" w:type="pct"/>
            <w:vMerge w:val="restart"/>
            <w:tcBorders>
              <w:top w:val="single" w:color="auto" w:sz="4" w:space="0"/>
              <w:left w:val="single" w:color="000000" w:sz="4" w:space="0"/>
              <w:right w:val="single" w:color="000000" w:sz="4" w:space="0"/>
            </w:tcBorders>
            <w:vAlign w:val="center"/>
          </w:tcPr>
          <w:p>
            <w:pPr>
              <w:widowControl/>
              <w:jc w:val="center"/>
              <w:textAlignment w:val="center"/>
              <w:rPr>
                <w:rFonts w:ascii="宋体" w:hAnsi="宋体" w:cs="宋体"/>
                <w:b/>
                <w:kern w:val="0"/>
                <w:sz w:val="24"/>
              </w:rPr>
            </w:pPr>
            <w:r>
              <w:rPr>
                <w:rFonts w:hint="eastAsia" w:ascii="宋体" w:hAnsi="宋体" w:cs="宋体"/>
                <w:b/>
                <w:kern w:val="0"/>
                <w:sz w:val="24"/>
              </w:rPr>
              <w:t>五、受到领导批示</w:t>
            </w:r>
          </w:p>
        </w:tc>
        <w:tc>
          <w:tcPr>
            <w:tcW w:w="2525"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ascii="宋体" w:hAnsi="宋体" w:cs="宋体"/>
                <w:kern w:val="0"/>
                <w:sz w:val="22"/>
                <w:szCs w:val="22"/>
              </w:rPr>
              <w:t>29</w:t>
            </w:r>
            <w:r>
              <w:rPr>
                <w:rFonts w:hint="eastAsia" w:ascii="宋体" w:hAnsi="宋体" w:cs="宋体"/>
                <w:kern w:val="0"/>
                <w:sz w:val="22"/>
                <w:szCs w:val="22"/>
              </w:rPr>
              <w:t>.部门工作获得最高人民法院院长、省委书记肯定性批示的</w:t>
            </w:r>
          </w:p>
        </w:tc>
        <w:tc>
          <w:tcPr>
            <w:tcW w:w="779"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hint="eastAsia" w:ascii="宋体" w:hAnsi="宋体" w:cs="宋体"/>
                <w:kern w:val="0"/>
                <w:sz w:val="22"/>
                <w:szCs w:val="22"/>
              </w:rPr>
              <w:t>每项加2分</w:t>
            </w:r>
          </w:p>
        </w:tc>
        <w:tc>
          <w:tcPr>
            <w:tcW w:w="410" w:type="pct"/>
            <w:vMerge w:val="continue"/>
            <w:tcBorders>
              <w:left w:val="single" w:color="000000" w:sz="4" w:space="0"/>
              <w:right w:val="single" w:color="000000" w:sz="4" w:space="0"/>
            </w:tcBorders>
            <w:vAlign w:val="center"/>
          </w:tcPr>
          <w:p>
            <w:pPr>
              <w:widowControl/>
              <w:jc w:val="center"/>
              <w:textAlignment w:val="center"/>
              <w:rPr>
                <w:rFonts w:ascii="宋体" w:hAnsi="宋体" w:cs="宋体"/>
                <w:kern w:val="0"/>
                <w:sz w:val="20"/>
                <w:szCs w:val="20"/>
              </w:rPr>
            </w:pPr>
          </w:p>
        </w:tc>
        <w:tc>
          <w:tcPr>
            <w:tcW w:w="730" w:type="pct"/>
            <w:vMerge w:val="restart"/>
            <w:tcBorders>
              <w:left w:val="single" w:color="000000" w:sz="4" w:space="0"/>
              <w:right w:val="single" w:color="000000" w:sz="4" w:space="0"/>
            </w:tcBorders>
            <w:vAlign w:val="center"/>
          </w:tcPr>
          <w:p>
            <w:pPr>
              <w:jc w:val="left"/>
              <w:rPr>
                <w:rFonts w:ascii="宋体" w:hAnsi="宋体" w:cs="宋体"/>
                <w:kern w:val="0"/>
                <w:sz w:val="20"/>
                <w:szCs w:val="20"/>
              </w:rPr>
            </w:pPr>
          </w:p>
        </w:tc>
      </w:tr>
      <w:tr>
        <w:tblPrEx>
          <w:tblCellMar>
            <w:top w:w="15" w:type="dxa"/>
            <w:left w:w="15" w:type="dxa"/>
            <w:bottom w:w="15" w:type="dxa"/>
            <w:right w:w="15" w:type="dxa"/>
          </w:tblCellMar>
        </w:tblPrEx>
        <w:trPr>
          <w:trHeight w:val="449" w:hRule="atLeast"/>
        </w:trPr>
        <w:tc>
          <w:tcPr>
            <w:tcW w:w="556" w:type="pct"/>
            <w:vMerge w:val="continue"/>
            <w:tcBorders>
              <w:left w:val="single" w:color="000000" w:sz="4" w:space="0"/>
              <w:right w:val="single" w:color="000000" w:sz="4" w:space="0"/>
            </w:tcBorders>
            <w:vAlign w:val="center"/>
          </w:tcPr>
          <w:p>
            <w:pPr>
              <w:widowControl/>
              <w:jc w:val="center"/>
              <w:textAlignment w:val="center"/>
              <w:rPr>
                <w:rFonts w:ascii="宋体" w:hAnsi="宋体" w:cs="宋体"/>
                <w:b/>
                <w:kern w:val="0"/>
                <w:sz w:val="24"/>
              </w:rPr>
            </w:pPr>
          </w:p>
        </w:tc>
        <w:tc>
          <w:tcPr>
            <w:tcW w:w="2525"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hint="eastAsia" w:ascii="宋体" w:hAnsi="宋体" w:cs="宋体"/>
                <w:kern w:val="0"/>
                <w:sz w:val="22"/>
                <w:szCs w:val="22"/>
              </w:rPr>
              <w:t>3</w:t>
            </w:r>
            <w:r>
              <w:rPr>
                <w:rFonts w:ascii="宋体" w:hAnsi="宋体" w:cs="宋体"/>
                <w:kern w:val="0"/>
                <w:sz w:val="22"/>
                <w:szCs w:val="22"/>
              </w:rPr>
              <w:t>0</w:t>
            </w:r>
            <w:r>
              <w:rPr>
                <w:rFonts w:hint="eastAsia" w:ascii="宋体" w:hAnsi="宋体" w:cs="宋体"/>
                <w:kern w:val="0"/>
                <w:sz w:val="22"/>
                <w:szCs w:val="22"/>
              </w:rPr>
              <w:t>.部门工作获得最高人民法院院领导、省委常委肯定性批示的</w:t>
            </w:r>
          </w:p>
        </w:tc>
        <w:tc>
          <w:tcPr>
            <w:tcW w:w="779"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hint="eastAsia" w:ascii="宋体" w:hAnsi="宋体" w:cs="宋体"/>
                <w:kern w:val="0"/>
                <w:sz w:val="22"/>
                <w:szCs w:val="22"/>
              </w:rPr>
              <w:t>每项加1.5分</w:t>
            </w:r>
          </w:p>
        </w:tc>
        <w:tc>
          <w:tcPr>
            <w:tcW w:w="410" w:type="pct"/>
            <w:vMerge w:val="continue"/>
            <w:tcBorders>
              <w:left w:val="single" w:color="000000" w:sz="4" w:space="0"/>
              <w:right w:val="single" w:color="000000" w:sz="4" w:space="0"/>
            </w:tcBorders>
            <w:vAlign w:val="center"/>
          </w:tcPr>
          <w:p>
            <w:pPr>
              <w:widowControl/>
              <w:jc w:val="center"/>
              <w:textAlignment w:val="center"/>
              <w:rPr>
                <w:rFonts w:ascii="宋体" w:hAnsi="宋体" w:cs="宋体"/>
                <w:kern w:val="0"/>
                <w:sz w:val="20"/>
                <w:szCs w:val="20"/>
              </w:rPr>
            </w:pPr>
          </w:p>
        </w:tc>
        <w:tc>
          <w:tcPr>
            <w:tcW w:w="730" w:type="pct"/>
            <w:vMerge w:val="continue"/>
            <w:tcBorders>
              <w:left w:val="single" w:color="000000" w:sz="4" w:space="0"/>
              <w:right w:val="single" w:color="000000" w:sz="4" w:space="0"/>
            </w:tcBorders>
            <w:vAlign w:val="center"/>
          </w:tcPr>
          <w:p>
            <w:pPr>
              <w:jc w:val="left"/>
              <w:rPr>
                <w:rFonts w:ascii="宋体" w:hAnsi="宋体" w:cs="宋体"/>
                <w:kern w:val="0"/>
                <w:sz w:val="20"/>
                <w:szCs w:val="20"/>
              </w:rPr>
            </w:pPr>
          </w:p>
        </w:tc>
      </w:tr>
      <w:tr>
        <w:tblPrEx>
          <w:tblCellMar>
            <w:top w:w="15" w:type="dxa"/>
            <w:left w:w="15" w:type="dxa"/>
            <w:bottom w:w="15" w:type="dxa"/>
            <w:right w:w="15" w:type="dxa"/>
          </w:tblCellMar>
        </w:tblPrEx>
        <w:trPr>
          <w:trHeight w:val="474" w:hRule="atLeast"/>
        </w:trPr>
        <w:tc>
          <w:tcPr>
            <w:tcW w:w="556" w:type="pct"/>
            <w:vMerge w:val="continue"/>
            <w:tcBorders>
              <w:left w:val="single" w:color="000000" w:sz="4" w:space="0"/>
              <w:right w:val="single" w:color="000000" w:sz="4" w:space="0"/>
            </w:tcBorders>
            <w:vAlign w:val="center"/>
          </w:tcPr>
          <w:p>
            <w:pPr>
              <w:widowControl/>
              <w:jc w:val="center"/>
              <w:textAlignment w:val="center"/>
              <w:rPr>
                <w:rFonts w:ascii="宋体" w:hAnsi="宋体" w:cs="宋体"/>
                <w:b/>
                <w:kern w:val="0"/>
                <w:sz w:val="24"/>
              </w:rPr>
            </w:pPr>
          </w:p>
        </w:tc>
        <w:tc>
          <w:tcPr>
            <w:tcW w:w="2525"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hint="eastAsia" w:ascii="宋体" w:hAnsi="宋体" w:cs="宋体"/>
                <w:kern w:val="0"/>
                <w:sz w:val="22"/>
                <w:szCs w:val="22"/>
              </w:rPr>
              <w:t>3</w:t>
            </w:r>
            <w:r>
              <w:rPr>
                <w:rFonts w:ascii="宋体" w:hAnsi="宋体" w:cs="宋体"/>
                <w:kern w:val="0"/>
                <w:sz w:val="22"/>
                <w:szCs w:val="22"/>
              </w:rPr>
              <w:t>1</w:t>
            </w:r>
            <w:r>
              <w:rPr>
                <w:rFonts w:hint="eastAsia" w:ascii="宋体" w:hAnsi="宋体" w:cs="宋体"/>
                <w:kern w:val="0"/>
                <w:sz w:val="22"/>
                <w:szCs w:val="22"/>
              </w:rPr>
              <w:t>.部门工作获得省高院院长、市委书记肯定性批示的</w:t>
            </w:r>
          </w:p>
        </w:tc>
        <w:tc>
          <w:tcPr>
            <w:tcW w:w="779"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hint="eastAsia" w:ascii="宋体" w:hAnsi="宋体" w:cs="宋体"/>
                <w:kern w:val="0"/>
                <w:sz w:val="22"/>
                <w:szCs w:val="22"/>
              </w:rPr>
              <w:t>每项加1分</w:t>
            </w:r>
          </w:p>
        </w:tc>
        <w:tc>
          <w:tcPr>
            <w:tcW w:w="410" w:type="pct"/>
            <w:vMerge w:val="continue"/>
            <w:tcBorders>
              <w:left w:val="single" w:color="000000" w:sz="4" w:space="0"/>
              <w:right w:val="single" w:color="000000" w:sz="4" w:space="0"/>
            </w:tcBorders>
            <w:vAlign w:val="center"/>
          </w:tcPr>
          <w:p>
            <w:pPr>
              <w:widowControl/>
              <w:jc w:val="center"/>
              <w:textAlignment w:val="center"/>
              <w:rPr>
                <w:rFonts w:ascii="宋体" w:hAnsi="宋体" w:cs="宋体"/>
                <w:kern w:val="0"/>
                <w:sz w:val="20"/>
                <w:szCs w:val="20"/>
              </w:rPr>
            </w:pPr>
          </w:p>
        </w:tc>
        <w:tc>
          <w:tcPr>
            <w:tcW w:w="730" w:type="pct"/>
            <w:vMerge w:val="continue"/>
            <w:tcBorders>
              <w:left w:val="single" w:color="000000" w:sz="4" w:space="0"/>
              <w:right w:val="single" w:color="000000" w:sz="4" w:space="0"/>
            </w:tcBorders>
            <w:vAlign w:val="center"/>
          </w:tcPr>
          <w:p>
            <w:pPr>
              <w:jc w:val="left"/>
              <w:rPr>
                <w:rFonts w:ascii="宋体" w:hAnsi="宋体" w:cs="宋体"/>
                <w:kern w:val="0"/>
                <w:sz w:val="20"/>
                <w:szCs w:val="20"/>
              </w:rPr>
            </w:pPr>
          </w:p>
        </w:tc>
      </w:tr>
      <w:tr>
        <w:tblPrEx>
          <w:tblCellMar>
            <w:top w:w="15" w:type="dxa"/>
            <w:left w:w="15" w:type="dxa"/>
            <w:bottom w:w="15" w:type="dxa"/>
            <w:right w:w="15" w:type="dxa"/>
          </w:tblCellMar>
        </w:tblPrEx>
        <w:trPr>
          <w:trHeight w:val="514" w:hRule="atLeast"/>
        </w:trPr>
        <w:tc>
          <w:tcPr>
            <w:tcW w:w="556" w:type="pct"/>
            <w:vMerge w:val="continue"/>
            <w:tcBorders>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b/>
                <w:kern w:val="0"/>
                <w:sz w:val="24"/>
              </w:rPr>
            </w:pPr>
          </w:p>
        </w:tc>
        <w:tc>
          <w:tcPr>
            <w:tcW w:w="2525"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宋体" w:hAnsi="宋体" w:cs="宋体"/>
                <w:sz w:val="22"/>
                <w:szCs w:val="22"/>
              </w:rPr>
            </w:pPr>
            <w:r>
              <w:rPr>
                <w:rFonts w:hint="eastAsia" w:ascii="宋体" w:hAnsi="宋体" w:cs="宋体"/>
                <w:kern w:val="0"/>
                <w:sz w:val="22"/>
                <w:szCs w:val="22"/>
              </w:rPr>
              <w:t>3</w:t>
            </w:r>
            <w:r>
              <w:rPr>
                <w:rFonts w:ascii="宋体" w:hAnsi="宋体" w:cs="宋体"/>
                <w:kern w:val="0"/>
                <w:sz w:val="22"/>
                <w:szCs w:val="22"/>
              </w:rPr>
              <w:t>2</w:t>
            </w:r>
            <w:r>
              <w:rPr>
                <w:rFonts w:hint="eastAsia" w:ascii="宋体" w:hAnsi="宋体" w:cs="宋体"/>
                <w:kern w:val="0"/>
                <w:sz w:val="22"/>
                <w:szCs w:val="22"/>
              </w:rPr>
              <w:t>.部门工作获得省高院院领导、市委常委肯定性批示的</w:t>
            </w:r>
          </w:p>
        </w:tc>
        <w:tc>
          <w:tcPr>
            <w:tcW w:w="779"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宋体" w:hAnsi="宋体" w:cs="宋体"/>
                <w:sz w:val="22"/>
                <w:szCs w:val="22"/>
              </w:rPr>
            </w:pPr>
            <w:r>
              <w:rPr>
                <w:rFonts w:hint="eastAsia" w:ascii="宋体" w:hAnsi="宋体" w:cs="宋体"/>
                <w:kern w:val="0"/>
                <w:sz w:val="22"/>
                <w:szCs w:val="22"/>
              </w:rPr>
              <w:t>每项加0.5分</w:t>
            </w:r>
          </w:p>
        </w:tc>
        <w:tc>
          <w:tcPr>
            <w:tcW w:w="410" w:type="pct"/>
            <w:vMerge w:val="continue"/>
            <w:tcBorders>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kern w:val="0"/>
                <w:sz w:val="20"/>
                <w:szCs w:val="20"/>
              </w:rPr>
            </w:pPr>
          </w:p>
        </w:tc>
        <w:tc>
          <w:tcPr>
            <w:tcW w:w="730" w:type="pct"/>
            <w:vMerge w:val="continue"/>
            <w:tcBorders>
              <w:left w:val="single" w:color="000000" w:sz="4" w:space="0"/>
              <w:bottom w:val="single" w:color="auto" w:sz="4" w:space="0"/>
              <w:right w:val="single" w:color="000000" w:sz="4" w:space="0"/>
            </w:tcBorders>
            <w:vAlign w:val="center"/>
          </w:tcPr>
          <w:p>
            <w:pPr>
              <w:jc w:val="left"/>
              <w:rPr>
                <w:rFonts w:ascii="宋体" w:hAnsi="宋体" w:cs="宋体"/>
                <w:kern w:val="0"/>
                <w:sz w:val="20"/>
                <w:szCs w:val="20"/>
              </w:rPr>
            </w:pPr>
          </w:p>
        </w:tc>
      </w:tr>
      <w:tr>
        <w:tblPrEx>
          <w:tblCellMar>
            <w:top w:w="15" w:type="dxa"/>
            <w:left w:w="15" w:type="dxa"/>
            <w:bottom w:w="15" w:type="dxa"/>
            <w:right w:w="15" w:type="dxa"/>
          </w:tblCellMar>
        </w:tblPrEx>
        <w:trPr>
          <w:trHeight w:val="534" w:hRule="atLeast"/>
        </w:trPr>
        <w:tc>
          <w:tcPr>
            <w:tcW w:w="556" w:type="pct"/>
            <w:vMerge w:val="restart"/>
            <w:tcBorders>
              <w:top w:val="single" w:color="auto" w:sz="4" w:space="0"/>
              <w:left w:val="single" w:color="auto" w:sz="4" w:space="0"/>
              <w:right w:val="single" w:color="000000" w:sz="4" w:space="0"/>
            </w:tcBorders>
            <w:vAlign w:val="center"/>
          </w:tcPr>
          <w:p>
            <w:pPr>
              <w:widowControl/>
              <w:jc w:val="center"/>
              <w:textAlignment w:val="center"/>
              <w:rPr>
                <w:rFonts w:ascii="宋体" w:hAnsi="宋体" w:cs="宋体"/>
                <w:b/>
                <w:kern w:val="0"/>
                <w:sz w:val="24"/>
              </w:rPr>
            </w:pPr>
            <w:r>
              <w:rPr>
                <w:rFonts w:hint="eastAsia" w:ascii="宋体" w:hAnsi="宋体" w:cs="宋体"/>
                <w:b/>
                <w:kern w:val="0"/>
                <w:sz w:val="24"/>
              </w:rPr>
              <w:t>六、完成调研课题、理论调研文章等</w:t>
            </w:r>
          </w:p>
        </w:tc>
        <w:tc>
          <w:tcPr>
            <w:tcW w:w="2525"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hint="eastAsia" w:ascii="宋体" w:hAnsi="宋体" w:cs="宋体"/>
                <w:kern w:val="0"/>
                <w:sz w:val="22"/>
                <w:szCs w:val="22"/>
              </w:rPr>
              <w:t>3</w:t>
            </w:r>
            <w:r>
              <w:rPr>
                <w:rFonts w:ascii="宋体" w:hAnsi="宋体" w:cs="宋体"/>
                <w:kern w:val="0"/>
                <w:sz w:val="22"/>
                <w:szCs w:val="22"/>
              </w:rPr>
              <w:t>3</w:t>
            </w:r>
            <w:r>
              <w:rPr>
                <w:rFonts w:hint="eastAsia" w:ascii="宋体" w:hAnsi="宋体" w:cs="宋体"/>
                <w:kern w:val="0"/>
                <w:sz w:val="22"/>
                <w:szCs w:val="22"/>
              </w:rPr>
              <w:t>.调研成果被最高院、省高院制定的有关规定予以充分吸纳的</w:t>
            </w:r>
          </w:p>
        </w:tc>
        <w:tc>
          <w:tcPr>
            <w:tcW w:w="779"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hint="eastAsia" w:ascii="宋体" w:hAnsi="宋体" w:cs="宋体"/>
                <w:kern w:val="0"/>
                <w:sz w:val="22"/>
                <w:szCs w:val="22"/>
              </w:rPr>
              <w:t>每篇加1分、0.5分</w:t>
            </w:r>
          </w:p>
        </w:tc>
        <w:tc>
          <w:tcPr>
            <w:tcW w:w="410" w:type="pct"/>
            <w:vMerge w:val="restart"/>
            <w:tcBorders>
              <w:left w:val="single" w:color="000000" w:sz="4" w:space="0"/>
              <w:right w:val="single" w:color="000000" w:sz="4" w:space="0"/>
            </w:tcBorders>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研究室</w:t>
            </w:r>
          </w:p>
        </w:tc>
        <w:tc>
          <w:tcPr>
            <w:tcW w:w="730" w:type="pct"/>
            <w:vMerge w:val="restart"/>
            <w:tcBorders>
              <w:left w:val="single" w:color="000000" w:sz="4" w:space="0"/>
              <w:right w:val="single" w:color="auto" w:sz="4" w:space="0"/>
            </w:tcBorders>
            <w:vAlign w:val="center"/>
          </w:tcPr>
          <w:p>
            <w:pPr>
              <w:jc w:val="left"/>
              <w:rPr>
                <w:rFonts w:ascii="宋体" w:hAnsi="宋体" w:cs="宋体"/>
                <w:kern w:val="0"/>
                <w:sz w:val="20"/>
                <w:szCs w:val="20"/>
              </w:rPr>
            </w:pPr>
            <w:r>
              <w:rPr>
                <w:rFonts w:hint="eastAsia" w:ascii="宋体" w:hAnsi="宋体" w:cs="宋体"/>
                <w:kern w:val="0"/>
                <w:sz w:val="20"/>
                <w:szCs w:val="20"/>
              </w:rPr>
              <w:t>加分项目与“精品工程”考核标准不重复累计计分。</w:t>
            </w:r>
          </w:p>
        </w:tc>
      </w:tr>
      <w:tr>
        <w:tblPrEx>
          <w:tblCellMar>
            <w:top w:w="15" w:type="dxa"/>
            <w:left w:w="15" w:type="dxa"/>
            <w:bottom w:w="15" w:type="dxa"/>
            <w:right w:w="15" w:type="dxa"/>
          </w:tblCellMar>
        </w:tblPrEx>
        <w:trPr>
          <w:trHeight w:val="534" w:hRule="atLeast"/>
        </w:trPr>
        <w:tc>
          <w:tcPr>
            <w:tcW w:w="556" w:type="pct"/>
            <w:vMerge w:val="continue"/>
            <w:tcBorders>
              <w:left w:val="single" w:color="auto" w:sz="4" w:space="0"/>
              <w:right w:val="single" w:color="000000" w:sz="4" w:space="0"/>
            </w:tcBorders>
            <w:vAlign w:val="center"/>
          </w:tcPr>
          <w:p>
            <w:pPr>
              <w:widowControl/>
              <w:jc w:val="center"/>
              <w:textAlignment w:val="center"/>
              <w:rPr>
                <w:rFonts w:ascii="宋体" w:hAnsi="宋体" w:cs="宋体"/>
                <w:b/>
                <w:kern w:val="0"/>
                <w:sz w:val="24"/>
              </w:rPr>
            </w:pPr>
          </w:p>
        </w:tc>
        <w:tc>
          <w:tcPr>
            <w:tcW w:w="2525"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hint="eastAsia" w:ascii="宋体" w:hAnsi="宋体" w:cs="宋体"/>
                <w:kern w:val="0"/>
                <w:sz w:val="22"/>
                <w:szCs w:val="22"/>
              </w:rPr>
              <w:t>3</w:t>
            </w:r>
            <w:r>
              <w:rPr>
                <w:rFonts w:ascii="宋体" w:hAnsi="宋体" w:cs="宋体"/>
                <w:kern w:val="0"/>
                <w:sz w:val="22"/>
                <w:szCs w:val="22"/>
              </w:rPr>
              <w:t>4</w:t>
            </w:r>
            <w:r>
              <w:rPr>
                <w:rFonts w:hint="eastAsia" w:ascii="宋体" w:hAnsi="宋体" w:cs="宋体"/>
                <w:kern w:val="0"/>
                <w:sz w:val="22"/>
                <w:szCs w:val="22"/>
              </w:rPr>
              <w:t>.案例或撰写的与法院工作有关的调研报告、理论研讨、经验交流、工作通讯等材料，被最高法院、省高院对口部门主编的公开发布的全国性、全省性指导丛书采用的</w:t>
            </w:r>
          </w:p>
        </w:tc>
        <w:tc>
          <w:tcPr>
            <w:tcW w:w="779"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hint="eastAsia" w:ascii="宋体" w:hAnsi="宋体" w:cs="宋体"/>
                <w:kern w:val="0"/>
                <w:sz w:val="22"/>
                <w:szCs w:val="22"/>
              </w:rPr>
              <w:t>每篇加0.3分、0.2分</w:t>
            </w:r>
          </w:p>
        </w:tc>
        <w:tc>
          <w:tcPr>
            <w:tcW w:w="410" w:type="pct"/>
            <w:vMerge w:val="continue"/>
            <w:tcBorders>
              <w:left w:val="single" w:color="000000" w:sz="4" w:space="0"/>
              <w:right w:val="single" w:color="000000" w:sz="4" w:space="0"/>
            </w:tcBorders>
            <w:vAlign w:val="center"/>
          </w:tcPr>
          <w:p>
            <w:pPr>
              <w:widowControl/>
              <w:jc w:val="center"/>
              <w:textAlignment w:val="center"/>
              <w:rPr>
                <w:rFonts w:ascii="宋体" w:hAnsi="宋体" w:cs="宋体"/>
                <w:kern w:val="0"/>
                <w:sz w:val="20"/>
                <w:szCs w:val="20"/>
              </w:rPr>
            </w:pPr>
          </w:p>
        </w:tc>
        <w:tc>
          <w:tcPr>
            <w:tcW w:w="730" w:type="pct"/>
            <w:vMerge w:val="continue"/>
            <w:tcBorders>
              <w:left w:val="single" w:color="000000" w:sz="4" w:space="0"/>
              <w:right w:val="single" w:color="auto" w:sz="4" w:space="0"/>
            </w:tcBorders>
            <w:vAlign w:val="center"/>
          </w:tcPr>
          <w:p>
            <w:pPr>
              <w:jc w:val="left"/>
              <w:rPr>
                <w:rFonts w:ascii="宋体" w:hAnsi="宋体" w:cs="宋体"/>
                <w:kern w:val="0"/>
                <w:sz w:val="20"/>
                <w:szCs w:val="20"/>
              </w:rPr>
            </w:pPr>
          </w:p>
        </w:tc>
      </w:tr>
      <w:tr>
        <w:tblPrEx>
          <w:tblCellMar>
            <w:top w:w="15" w:type="dxa"/>
            <w:left w:w="15" w:type="dxa"/>
            <w:bottom w:w="15" w:type="dxa"/>
            <w:right w:w="15" w:type="dxa"/>
          </w:tblCellMar>
        </w:tblPrEx>
        <w:trPr>
          <w:trHeight w:val="534" w:hRule="atLeast"/>
        </w:trPr>
        <w:tc>
          <w:tcPr>
            <w:tcW w:w="556" w:type="pct"/>
            <w:vMerge w:val="continue"/>
            <w:tcBorders>
              <w:left w:val="single" w:color="auto" w:sz="4" w:space="0"/>
              <w:bottom w:val="single" w:color="auto" w:sz="4" w:space="0"/>
              <w:right w:val="single" w:color="000000" w:sz="4" w:space="0"/>
            </w:tcBorders>
            <w:vAlign w:val="center"/>
          </w:tcPr>
          <w:p>
            <w:pPr>
              <w:widowControl/>
              <w:jc w:val="center"/>
              <w:textAlignment w:val="center"/>
              <w:rPr>
                <w:rFonts w:ascii="宋体" w:hAnsi="宋体" w:cs="宋体"/>
                <w:b/>
                <w:kern w:val="0"/>
                <w:sz w:val="24"/>
              </w:rPr>
            </w:pPr>
          </w:p>
        </w:tc>
        <w:tc>
          <w:tcPr>
            <w:tcW w:w="2525"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宋体" w:hAnsi="宋体" w:cs="宋体"/>
                <w:kern w:val="0"/>
                <w:sz w:val="22"/>
                <w:szCs w:val="22"/>
              </w:rPr>
            </w:pPr>
            <w:r>
              <w:rPr>
                <w:rFonts w:hint="eastAsia" w:ascii="宋体" w:hAnsi="宋体" w:cs="宋体"/>
                <w:kern w:val="0"/>
                <w:sz w:val="22"/>
                <w:szCs w:val="22"/>
              </w:rPr>
              <w:t>3</w:t>
            </w:r>
            <w:r>
              <w:rPr>
                <w:rFonts w:ascii="宋体" w:hAnsi="宋体" w:cs="宋体"/>
                <w:kern w:val="0"/>
                <w:sz w:val="22"/>
                <w:szCs w:val="22"/>
              </w:rPr>
              <w:t>5</w:t>
            </w:r>
            <w:r>
              <w:rPr>
                <w:rFonts w:hint="eastAsia" w:ascii="宋体" w:hAnsi="宋体" w:cs="宋体"/>
                <w:kern w:val="0"/>
                <w:sz w:val="22"/>
                <w:szCs w:val="22"/>
              </w:rPr>
              <w:t>.被上级法院相关部门主编的内部刊物采用的</w:t>
            </w:r>
          </w:p>
        </w:tc>
        <w:tc>
          <w:tcPr>
            <w:tcW w:w="779"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宋体" w:hAnsi="宋体" w:cs="宋体"/>
                <w:kern w:val="0"/>
                <w:sz w:val="22"/>
                <w:szCs w:val="22"/>
              </w:rPr>
            </w:pPr>
            <w:r>
              <w:rPr>
                <w:rFonts w:hint="eastAsia" w:ascii="宋体" w:hAnsi="宋体" w:cs="宋体"/>
                <w:kern w:val="0"/>
                <w:sz w:val="22"/>
                <w:szCs w:val="22"/>
              </w:rPr>
              <w:t>每篇0.1分</w:t>
            </w:r>
          </w:p>
        </w:tc>
        <w:tc>
          <w:tcPr>
            <w:tcW w:w="410" w:type="pct"/>
            <w:vMerge w:val="continue"/>
            <w:tcBorders>
              <w:left w:val="single" w:color="000000" w:sz="4" w:space="0"/>
              <w:right w:val="single" w:color="000000" w:sz="4" w:space="0"/>
            </w:tcBorders>
            <w:vAlign w:val="center"/>
          </w:tcPr>
          <w:p>
            <w:pPr>
              <w:widowControl/>
              <w:jc w:val="center"/>
              <w:textAlignment w:val="center"/>
              <w:rPr>
                <w:rFonts w:ascii="宋体" w:hAnsi="宋体" w:cs="宋体"/>
                <w:kern w:val="0"/>
                <w:sz w:val="20"/>
                <w:szCs w:val="20"/>
              </w:rPr>
            </w:pPr>
          </w:p>
        </w:tc>
        <w:tc>
          <w:tcPr>
            <w:tcW w:w="730" w:type="pct"/>
            <w:vMerge w:val="continue"/>
            <w:tcBorders>
              <w:left w:val="single" w:color="000000" w:sz="4" w:space="0"/>
              <w:right w:val="single" w:color="auto" w:sz="4" w:space="0"/>
            </w:tcBorders>
            <w:vAlign w:val="center"/>
          </w:tcPr>
          <w:p>
            <w:pPr>
              <w:jc w:val="left"/>
              <w:rPr>
                <w:rFonts w:ascii="宋体" w:hAnsi="宋体" w:cs="宋体"/>
                <w:kern w:val="0"/>
                <w:sz w:val="20"/>
                <w:szCs w:val="20"/>
              </w:rPr>
            </w:pPr>
          </w:p>
        </w:tc>
      </w:tr>
      <w:tr>
        <w:tblPrEx>
          <w:tblCellMar>
            <w:top w:w="15" w:type="dxa"/>
            <w:left w:w="15" w:type="dxa"/>
            <w:bottom w:w="15" w:type="dxa"/>
            <w:right w:w="15" w:type="dxa"/>
          </w:tblCellMar>
        </w:tblPrEx>
        <w:trPr>
          <w:trHeight w:val="534" w:hRule="atLeast"/>
        </w:trPr>
        <w:tc>
          <w:tcPr>
            <w:tcW w:w="556" w:type="pct"/>
            <w:vMerge w:val="continue"/>
            <w:tcBorders>
              <w:left w:val="single" w:color="auto" w:sz="4" w:space="0"/>
              <w:bottom w:val="single" w:color="auto" w:sz="4" w:space="0"/>
              <w:right w:val="single" w:color="000000" w:sz="4" w:space="0"/>
            </w:tcBorders>
            <w:vAlign w:val="center"/>
          </w:tcPr>
          <w:p>
            <w:pPr>
              <w:widowControl/>
              <w:jc w:val="center"/>
              <w:textAlignment w:val="center"/>
              <w:rPr>
                <w:rFonts w:ascii="宋体" w:hAnsi="宋体" w:cs="宋体"/>
                <w:b/>
                <w:kern w:val="0"/>
                <w:sz w:val="24"/>
              </w:rPr>
            </w:pPr>
          </w:p>
        </w:tc>
        <w:tc>
          <w:tcPr>
            <w:tcW w:w="2525"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宋体" w:hAnsi="宋体" w:cs="宋体"/>
                <w:kern w:val="0"/>
                <w:sz w:val="22"/>
                <w:szCs w:val="22"/>
              </w:rPr>
            </w:pPr>
            <w:r>
              <w:rPr>
                <w:rFonts w:hint="eastAsia" w:ascii="宋体" w:hAnsi="宋体" w:cs="宋体"/>
                <w:kern w:val="0"/>
                <w:sz w:val="22"/>
                <w:szCs w:val="22"/>
              </w:rPr>
              <w:t>3</w:t>
            </w:r>
            <w:r>
              <w:rPr>
                <w:rFonts w:ascii="宋体" w:hAnsi="宋体" w:cs="宋体"/>
                <w:kern w:val="0"/>
                <w:sz w:val="22"/>
                <w:szCs w:val="22"/>
              </w:rPr>
              <w:t>6</w:t>
            </w:r>
            <w:r>
              <w:rPr>
                <w:rFonts w:hint="eastAsia" w:ascii="宋体" w:hAnsi="宋体" w:cs="宋体"/>
                <w:kern w:val="0"/>
                <w:sz w:val="22"/>
                <w:szCs w:val="22"/>
              </w:rPr>
              <w:t>.司法建议被有关部门采用的</w:t>
            </w:r>
          </w:p>
        </w:tc>
        <w:tc>
          <w:tcPr>
            <w:tcW w:w="779" w:type="pc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宋体" w:hAnsi="宋体" w:cs="宋体"/>
                <w:kern w:val="0"/>
                <w:sz w:val="22"/>
                <w:szCs w:val="22"/>
              </w:rPr>
            </w:pPr>
            <w:r>
              <w:rPr>
                <w:rFonts w:hint="eastAsia" w:ascii="宋体" w:hAnsi="宋体" w:cs="宋体"/>
                <w:kern w:val="0"/>
                <w:sz w:val="22"/>
                <w:szCs w:val="22"/>
              </w:rPr>
              <w:t>每篇0.1分</w:t>
            </w:r>
          </w:p>
        </w:tc>
        <w:tc>
          <w:tcPr>
            <w:tcW w:w="410" w:type="pct"/>
            <w:vMerge w:val="continue"/>
            <w:tcBorders>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kern w:val="0"/>
                <w:sz w:val="20"/>
                <w:szCs w:val="20"/>
              </w:rPr>
            </w:pPr>
          </w:p>
        </w:tc>
        <w:tc>
          <w:tcPr>
            <w:tcW w:w="730" w:type="pct"/>
            <w:vMerge w:val="continue"/>
            <w:tcBorders>
              <w:left w:val="single" w:color="000000" w:sz="4" w:space="0"/>
              <w:bottom w:val="single" w:color="auto" w:sz="4" w:space="0"/>
              <w:right w:val="single" w:color="auto" w:sz="4" w:space="0"/>
            </w:tcBorders>
            <w:vAlign w:val="center"/>
          </w:tcPr>
          <w:p>
            <w:pPr>
              <w:jc w:val="left"/>
              <w:rPr>
                <w:rFonts w:ascii="宋体" w:hAnsi="宋体" w:cs="宋体"/>
                <w:kern w:val="0"/>
                <w:sz w:val="20"/>
                <w:szCs w:val="20"/>
              </w:rPr>
            </w:pPr>
          </w:p>
        </w:tc>
      </w:tr>
      <w:tr>
        <w:tblPrEx>
          <w:tblCellMar>
            <w:top w:w="15" w:type="dxa"/>
            <w:left w:w="15" w:type="dxa"/>
            <w:bottom w:w="15" w:type="dxa"/>
            <w:right w:w="15" w:type="dxa"/>
          </w:tblCellMar>
        </w:tblPrEx>
        <w:trPr>
          <w:trHeight w:val="609" w:hRule="atLeast"/>
        </w:trPr>
        <w:tc>
          <w:tcPr>
            <w:tcW w:w="556" w:type="pct"/>
            <w:vMerge w:val="restar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4"/>
              </w:rPr>
            </w:pPr>
            <w:r>
              <w:rPr>
                <w:rFonts w:hint="eastAsia" w:ascii="宋体" w:hAnsi="宋体" w:cs="宋体"/>
                <w:b/>
                <w:kern w:val="0"/>
                <w:sz w:val="24"/>
              </w:rPr>
              <w:t>七、参赛获奖</w:t>
            </w:r>
          </w:p>
        </w:tc>
        <w:tc>
          <w:tcPr>
            <w:tcW w:w="2525"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hint="eastAsia" w:ascii="宋体" w:hAnsi="宋体" w:cs="宋体"/>
                <w:kern w:val="0"/>
                <w:sz w:val="22"/>
                <w:szCs w:val="22"/>
              </w:rPr>
              <w:t>3</w:t>
            </w:r>
            <w:r>
              <w:rPr>
                <w:rFonts w:ascii="宋体" w:hAnsi="宋体" w:cs="宋体"/>
                <w:kern w:val="0"/>
                <w:sz w:val="22"/>
                <w:szCs w:val="22"/>
              </w:rPr>
              <w:t>7</w:t>
            </w:r>
            <w:r>
              <w:rPr>
                <w:rFonts w:hint="eastAsia" w:ascii="宋体" w:hAnsi="宋体" w:cs="宋体"/>
                <w:kern w:val="0"/>
                <w:sz w:val="22"/>
                <w:szCs w:val="22"/>
              </w:rPr>
              <w:t>.代表院机关参加全国大型比赛活动获一、二、三等奖及优秀奖的</w:t>
            </w:r>
          </w:p>
        </w:tc>
        <w:tc>
          <w:tcPr>
            <w:tcW w:w="779"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2"/>
                <w:szCs w:val="22"/>
              </w:rPr>
            </w:pPr>
            <w:r>
              <w:rPr>
                <w:rFonts w:hint="eastAsia" w:ascii="宋体" w:hAnsi="宋体" w:cs="宋体"/>
                <w:kern w:val="0"/>
                <w:sz w:val="22"/>
                <w:szCs w:val="22"/>
              </w:rPr>
              <w:t>分别加1分、0.5分、0.3分、0.2分</w:t>
            </w:r>
          </w:p>
        </w:tc>
        <w:tc>
          <w:tcPr>
            <w:tcW w:w="410" w:type="pct"/>
            <w:vMerge w:val="restart"/>
            <w:tcBorders>
              <w:top w:val="single" w:color="auto" w:sz="4" w:space="0"/>
              <w:left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0"/>
                <w:szCs w:val="20"/>
              </w:rPr>
              <w:t>机关党委</w:t>
            </w:r>
          </w:p>
        </w:tc>
        <w:tc>
          <w:tcPr>
            <w:tcW w:w="730" w:type="pct"/>
            <w:vMerge w:val="restart"/>
            <w:tcBorders>
              <w:top w:val="single" w:color="auto" w:sz="4" w:space="0"/>
              <w:left w:val="single" w:color="000000" w:sz="4" w:space="0"/>
              <w:right w:val="single" w:color="000000" w:sz="4" w:space="0"/>
            </w:tcBorders>
            <w:vAlign w:val="center"/>
          </w:tcPr>
          <w:p>
            <w:pPr>
              <w:jc w:val="left"/>
              <w:rPr>
                <w:rFonts w:ascii="宋体" w:hAnsi="宋体" w:cs="宋体"/>
                <w:sz w:val="24"/>
              </w:rPr>
            </w:pPr>
            <w:r>
              <w:rPr>
                <w:rFonts w:hint="eastAsia" w:ascii="宋体" w:hAnsi="宋体" w:cs="宋体"/>
                <w:kern w:val="0"/>
                <w:sz w:val="20"/>
                <w:szCs w:val="20"/>
              </w:rPr>
              <w:t>个人获得表彰奖励的参照此标准执行</w:t>
            </w:r>
            <w:r>
              <w:rPr>
                <w:rFonts w:hint="eastAsia" w:ascii="宋体" w:hAnsi="宋体" w:cs="宋体"/>
                <w:sz w:val="24"/>
              </w:rPr>
              <w:t>。</w:t>
            </w:r>
          </w:p>
        </w:tc>
      </w:tr>
      <w:tr>
        <w:tblPrEx>
          <w:tblCellMar>
            <w:top w:w="15" w:type="dxa"/>
            <w:left w:w="15" w:type="dxa"/>
            <w:bottom w:w="15" w:type="dxa"/>
            <w:right w:w="15" w:type="dxa"/>
          </w:tblCellMar>
        </w:tblPrEx>
        <w:trPr>
          <w:trHeight w:val="619" w:hRule="atLeast"/>
        </w:trPr>
        <w:tc>
          <w:tcPr>
            <w:tcW w:w="55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 w:val="24"/>
              </w:rPr>
            </w:pPr>
          </w:p>
        </w:tc>
        <w:tc>
          <w:tcPr>
            <w:tcW w:w="252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ascii="宋体" w:hAnsi="宋体" w:cs="宋体"/>
                <w:kern w:val="0"/>
                <w:sz w:val="22"/>
                <w:szCs w:val="22"/>
              </w:rPr>
              <w:t>38</w:t>
            </w:r>
            <w:r>
              <w:rPr>
                <w:rFonts w:hint="eastAsia" w:ascii="宋体" w:hAnsi="宋体" w:cs="宋体"/>
                <w:kern w:val="0"/>
                <w:sz w:val="22"/>
                <w:szCs w:val="22"/>
              </w:rPr>
              <w:t>.代表院机关参加全省大型比赛活动获一、二、三等奖的</w:t>
            </w:r>
          </w:p>
        </w:tc>
        <w:tc>
          <w:tcPr>
            <w:tcW w:w="77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2"/>
                <w:szCs w:val="22"/>
              </w:rPr>
            </w:pPr>
            <w:r>
              <w:rPr>
                <w:rFonts w:hint="eastAsia" w:ascii="宋体" w:hAnsi="宋体" w:cs="宋体"/>
                <w:kern w:val="0"/>
                <w:sz w:val="22"/>
                <w:szCs w:val="22"/>
              </w:rPr>
              <w:t>分别加0.5分、0.3分、0.2分</w:t>
            </w:r>
          </w:p>
        </w:tc>
        <w:tc>
          <w:tcPr>
            <w:tcW w:w="410" w:type="pct"/>
            <w:vMerge w:val="continue"/>
            <w:tcBorders>
              <w:left w:val="single" w:color="000000" w:sz="4" w:space="0"/>
              <w:right w:val="single" w:color="000000" w:sz="4" w:space="0"/>
            </w:tcBorders>
            <w:vAlign w:val="center"/>
          </w:tcPr>
          <w:p>
            <w:pPr>
              <w:jc w:val="center"/>
              <w:rPr>
                <w:rFonts w:ascii="宋体" w:hAnsi="宋体" w:cs="宋体"/>
                <w:sz w:val="24"/>
              </w:rPr>
            </w:pPr>
          </w:p>
        </w:tc>
        <w:tc>
          <w:tcPr>
            <w:tcW w:w="730" w:type="pct"/>
            <w:vMerge w:val="continue"/>
            <w:tcBorders>
              <w:left w:val="single" w:color="000000" w:sz="4" w:space="0"/>
              <w:right w:val="single" w:color="000000" w:sz="4" w:space="0"/>
            </w:tcBorders>
            <w:vAlign w:val="center"/>
          </w:tcPr>
          <w:p>
            <w:pPr>
              <w:jc w:val="center"/>
              <w:rPr>
                <w:rFonts w:ascii="宋体" w:hAnsi="宋体" w:cs="宋体"/>
                <w:sz w:val="24"/>
              </w:rPr>
            </w:pPr>
          </w:p>
        </w:tc>
      </w:tr>
      <w:tr>
        <w:tblPrEx>
          <w:tblCellMar>
            <w:top w:w="15" w:type="dxa"/>
            <w:left w:w="15" w:type="dxa"/>
            <w:bottom w:w="15" w:type="dxa"/>
            <w:right w:w="15" w:type="dxa"/>
          </w:tblCellMar>
        </w:tblPrEx>
        <w:trPr>
          <w:trHeight w:val="589" w:hRule="atLeast"/>
        </w:trPr>
        <w:tc>
          <w:tcPr>
            <w:tcW w:w="55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 w:val="24"/>
              </w:rPr>
            </w:pPr>
          </w:p>
        </w:tc>
        <w:tc>
          <w:tcPr>
            <w:tcW w:w="252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ascii="宋体" w:hAnsi="宋体" w:cs="宋体"/>
                <w:kern w:val="0"/>
                <w:sz w:val="22"/>
                <w:szCs w:val="22"/>
              </w:rPr>
              <w:t>39</w:t>
            </w:r>
            <w:r>
              <w:rPr>
                <w:rFonts w:hint="eastAsia" w:ascii="宋体" w:hAnsi="宋体" w:cs="宋体"/>
                <w:kern w:val="0"/>
                <w:sz w:val="22"/>
                <w:szCs w:val="22"/>
              </w:rPr>
              <w:t>.代表院机关参加全市大型比赛活动获一、二、三等奖及优秀奖的</w:t>
            </w:r>
          </w:p>
        </w:tc>
        <w:tc>
          <w:tcPr>
            <w:tcW w:w="77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2"/>
                <w:szCs w:val="22"/>
              </w:rPr>
            </w:pPr>
            <w:r>
              <w:rPr>
                <w:rFonts w:hint="eastAsia" w:ascii="宋体" w:hAnsi="宋体" w:cs="宋体"/>
                <w:kern w:val="0"/>
                <w:sz w:val="22"/>
                <w:szCs w:val="22"/>
              </w:rPr>
              <w:t>分别加0.3分、0.2分、0.1分、0.05分</w:t>
            </w:r>
          </w:p>
        </w:tc>
        <w:tc>
          <w:tcPr>
            <w:tcW w:w="410" w:type="pct"/>
            <w:vMerge w:val="continue"/>
            <w:tcBorders>
              <w:left w:val="single" w:color="000000" w:sz="4" w:space="0"/>
              <w:right w:val="single" w:color="000000" w:sz="4" w:space="0"/>
            </w:tcBorders>
            <w:vAlign w:val="center"/>
          </w:tcPr>
          <w:p>
            <w:pPr>
              <w:jc w:val="center"/>
              <w:rPr>
                <w:rFonts w:ascii="宋体" w:hAnsi="宋体" w:cs="宋体"/>
                <w:sz w:val="24"/>
              </w:rPr>
            </w:pPr>
          </w:p>
        </w:tc>
        <w:tc>
          <w:tcPr>
            <w:tcW w:w="730" w:type="pct"/>
            <w:vMerge w:val="continue"/>
            <w:tcBorders>
              <w:left w:val="single" w:color="000000" w:sz="4" w:space="0"/>
              <w:right w:val="single" w:color="000000" w:sz="4" w:space="0"/>
            </w:tcBorders>
            <w:vAlign w:val="center"/>
          </w:tcPr>
          <w:p>
            <w:pPr>
              <w:jc w:val="center"/>
              <w:rPr>
                <w:rFonts w:ascii="宋体" w:hAnsi="宋体" w:cs="宋体"/>
                <w:sz w:val="24"/>
              </w:rPr>
            </w:pPr>
          </w:p>
        </w:tc>
      </w:tr>
      <w:tr>
        <w:tblPrEx>
          <w:tblCellMar>
            <w:top w:w="15" w:type="dxa"/>
            <w:left w:w="15" w:type="dxa"/>
            <w:bottom w:w="15" w:type="dxa"/>
            <w:right w:w="15" w:type="dxa"/>
          </w:tblCellMar>
        </w:tblPrEx>
        <w:trPr>
          <w:trHeight w:val="463" w:hRule="atLeast"/>
        </w:trPr>
        <w:tc>
          <w:tcPr>
            <w:tcW w:w="55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 w:val="24"/>
              </w:rPr>
            </w:pPr>
          </w:p>
        </w:tc>
        <w:tc>
          <w:tcPr>
            <w:tcW w:w="252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hint="eastAsia" w:ascii="宋体" w:hAnsi="宋体" w:cs="宋体"/>
                <w:sz w:val="22"/>
                <w:szCs w:val="22"/>
              </w:rPr>
              <w:t>4</w:t>
            </w:r>
            <w:r>
              <w:rPr>
                <w:rFonts w:ascii="宋体" w:hAnsi="宋体" w:cs="宋体"/>
                <w:sz w:val="22"/>
                <w:szCs w:val="22"/>
              </w:rPr>
              <w:t>0</w:t>
            </w:r>
            <w:r>
              <w:rPr>
                <w:rFonts w:hint="eastAsia" w:ascii="宋体" w:hAnsi="宋体" w:cs="宋体"/>
                <w:sz w:val="22"/>
                <w:szCs w:val="22"/>
              </w:rPr>
              <w:t>.在本院党建活动中，获评一、二、三等奖和优秀奖、组织奖的</w:t>
            </w:r>
          </w:p>
        </w:tc>
        <w:tc>
          <w:tcPr>
            <w:tcW w:w="77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2"/>
                <w:szCs w:val="22"/>
              </w:rPr>
            </w:pPr>
            <w:r>
              <w:rPr>
                <w:rFonts w:hint="eastAsia" w:ascii="宋体" w:hAnsi="宋体" w:cs="宋体"/>
                <w:kern w:val="0"/>
                <w:sz w:val="22"/>
                <w:szCs w:val="22"/>
              </w:rPr>
              <w:t>分别加0.3分、0.2分、0.1分、0.05分</w:t>
            </w:r>
          </w:p>
        </w:tc>
        <w:tc>
          <w:tcPr>
            <w:tcW w:w="410" w:type="pct"/>
            <w:vMerge w:val="continue"/>
            <w:tcBorders>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730" w:type="pct"/>
            <w:vMerge w:val="continue"/>
            <w:tcBorders>
              <w:left w:val="single" w:color="000000" w:sz="4" w:space="0"/>
              <w:right w:val="single" w:color="000000" w:sz="4" w:space="0"/>
            </w:tcBorders>
            <w:vAlign w:val="center"/>
          </w:tcPr>
          <w:p>
            <w:pPr>
              <w:jc w:val="center"/>
              <w:rPr>
                <w:rFonts w:ascii="宋体" w:hAnsi="宋体" w:cs="宋体"/>
                <w:sz w:val="24"/>
              </w:rPr>
            </w:pPr>
          </w:p>
        </w:tc>
      </w:tr>
      <w:tr>
        <w:tblPrEx>
          <w:tblCellMar>
            <w:top w:w="15" w:type="dxa"/>
            <w:left w:w="15" w:type="dxa"/>
            <w:bottom w:w="15" w:type="dxa"/>
            <w:right w:w="15" w:type="dxa"/>
          </w:tblCellMar>
        </w:tblPrEx>
        <w:trPr>
          <w:trHeight w:val="597" w:hRule="atLeast"/>
        </w:trPr>
        <w:tc>
          <w:tcPr>
            <w:tcW w:w="55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 w:val="24"/>
              </w:rPr>
            </w:pPr>
          </w:p>
        </w:tc>
        <w:tc>
          <w:tcPr>
            <w:tcW w:w="252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hint="eastAsia" w:ascii="宋体" w:hAnsi="宋体" w:cs="宋体"/>
                <w:sz w:val="22"/>
                <w:szCs w:val="22"/>
              </w:rPr>
              <w:t>4</w:t>
            </w:r>
            <w:r>
              <w:rPr>
                <w:rFonts w:ascii="宋体" w:hAnsi="宋体" w:cs="宋体"/>
                <w:sz w:val="22"/>
                <w:szCs w:val="22"/>
              </w:rPr>
              <w:t>1</w:t>
            </w:r>
            <w:r>
              <w:rPr>
                <w:rFonts w:hint="eastAsia" w:ascii="宋体" w:hAnsi="宋体" w:cs="宋体"/>
                <w:sz w:val="22"/>
                <w:szCs w:val="22"/>
              </w:rPr>
              <w:t>.推进新时代吉林党支部标准体系（BTX）建设中，“巩固B、瞄准T、争创X”创建活动经验被全国、全省和全院转发的</w:t>
            </w:r>
          </w:p>
        </w:tc>
        <w:tc>
          <w:tcPr>
            <w:tcW w:w="77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2"/>
                <w:szCs w:val="22"/>
              </w:rPr>
            </w:pPr>
            <w:r>
              <w:rPr>
                <w:rFonts w:hint="eastAsia" w:ascii="宋体" w:hAnsi="宋体" w:cs="宋体"/>
                <w:kern w:val="0"/>
                <w:sz w:val="22"/>
                <w:szCs w:val="22"/>
              </w:rPr>
              <w:t>分别加1分、0.5分、0.2分</w:t>
            </w:r>
          </w:p>
        </w:tc>
        <w:tc>
          <w:tcPr>
            <w:tcW w:w="410" w:type="pct"/>
            <w:vMerge w:val="continue"/>
            <w:tcBorders>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730" w:type="pct"/>
            <w:vMerge w:val="continue"/>
            <w:tcBorders>
              <w:left w:val="single" w:color="000000" w:sz="4" w:space="0"/>
              <w:bottom w:val="single" w:color="000000" w:sz="4" w:space="0"/>
              <w:right w:val="single" w:color="000000" w:sz="4" w:space="0"/>
            </w:tcBorders>
            <w:vAlign w:val="center"/>
          </w:tcPr>
          <w:p>
            <w:pPr>
              <w:jc w:val="center"/>
              <w:rPr>
                <w:rFonts w:ascii="宋体" w:hAnsi="宋体" w:cs="宋体"/>
                <w:sz w:val="24"/>
              </w:rPr>
            </w:pPr>
          </w:p>
        </w:tc>
      </w:tr>
      <w:tr>
        <w:tblPrEx>
          <w:tblCellMar>
            <w:top w:w="15" w:type="dxa"/>
            <w:left w:w="15" w:type="dxa"/>
            <w:bottom w:w="15" w:type="dxa"/>
            <w:right w:w="15" w:type="dxa"/>
          </w:tblCellMar>
        </w:tblPrEx>
        <w:trPr>
          <w:trHeight w:val="597" w:hRule="atLeast"/>
        </w:trPr>
        <w:tc>
          <w:tcPr>
            <w:tcW w:w="55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 w:val="24"/>
              </w:rPr>
            </w:pPr>
          </w:p>
        </w:tc>
        <w:tc>
          <w:tcPr>
            <w:tcW w:w="252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hint="eastAsia" w:ascii="宋体" w:hAnsi="宋体" w:cs="宋体"/>
                <w:sz w:val="22"/>
                <w:szCs w:val="22"/>
              </w:rPr>
              <w:t>4</w:t>
            </w:r>
            <w:r>
              <w:rPr>
                <w:rFonts w:ascii="宋体" w:hAnsi="宋体" w:cs="宋体"/>
                <w:sz w:val="22"/>
                <w:szCs w:val="22"/>
              </w:rPr>
              <w:t>2</w:t>
            </w:r>
            <w:r>
              <w:rPr>
                <w:rFonts w:hint="eastAsia" w:ascii="宋体" w:hAnsi="宋体" w:cs="宋体"/>
                <w:sz w:val="22"/>
                <w:szCs w:val="22"/>
              </w:rPr>
              <w:t>.在本院党建活动中受到通报表扬的</w:t>
            </w:r>
          </w:p>
        </w:tc>
        <w:tc>
          <w:tcPr>
            <w:tcW w:w="77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hint="eastAsia" w:ascii="宋体" w:hAnsi="宋体" w:cs="宋体"/>
                <w:kern w:val="0"/>
                <w:sz w:val="22"/>
                <w:szCs w:val="22"/>
              </w:rPr>
              <w:t>每次加0.1分</w:t>
            </w:r>
          </w:p>
        </w:tc>
        <w:tc>
          <w:tcPr>
            <w:tcW w:w="410" w:type="pct"/>
            <w:vMerge w:val="continue"/>
            <w:tcBorders>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730" w:type="pct"/>
            <w:vMerge w:val="continue"/>
            <w:tcBorders>
              <w:left w:val="single" w:color="000000" w:sz="4" w:space="0"/>
              <w:bottom w:val="single" w:color="000000" w:sz="4" w:space="0"/>
              <w:right w:val="single" w:color="000000" w:sz="4" w:space="0"/>
            </w:tcBorders>
            <w:vAlign w:val="center"/>
          </w:tcPr>
          <w:p>
            <w:pPr>
              <w:jc w:val="center"/>
              <w:rPr>
                <w:rFonts w:ascii="宋体" w:hAnsi="宋体" w:cs="宋体"/>
                <w:sz w:val="24"/>
              </w:rPr>
            </w:pPr>
          </w:p>
        </w:tc>
      </w:tr>
      <w:tr>
        <w:tblPrEx>
          <w:tblCellMar>
            <w:top w:w="15" w:type="dxa"/>
            <w:left w:w="15" w:type="dxa"/>
            <w:bottom w:w="15" w:type="dxa"/>
            <w:right w:w="15" w:type="dxa"/>
          </w:tblCellMar>
        </w:tblPrEx>
        <w:trPr>
          <w:trHeight w:val="625" w:hRule="atLeast"/>
        </w:trPr>
        <w:tc>
          <w:tcPr>
            <w:tcW w:w="556"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sz w:val="24"/>
              </w:rPr>
            </w:pPr>
            <w:r>
              <w:rPr>
                <w:rFonts w:hint="eastAsia" w:ascii="宋体" w:hAnsi="宋体" w:cs="宋体"/>
                <w:b/>
                <w:kern w:val="0"/>
                <w:sz w:val="24"/>
              </w:rPr>
              <w:t>八、其他</w:t>
            </w:r>
          </w:p>
        </w:tc>
        <w:tc>
          <w:tcPr>
            <w:tcW w:w="252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kern w:val="0"/>
                <w:sz w:val="22"/>
                <w:szCs w:val="22"/>
              </w:rPr>
            </w:pPr>
            <w:r>
              <w:rPr>
                <w:rFonts w:hint="eastAsia" w:ascii="宋体" w:hAnsi="宋体" w:cs="宋体"/>
                <w:kern w:val="0"/>
                <w:sz w:val="22"/>
                <w:szCs w:val="22"/>
              </w:rPr>
              <w:t>4</w:t>
            </w:r>
            <w:r>
              <w:rPr>
                <w:rFonts w:ascii="宋体" w:hAnsi="宋体" w:cs="宋体"/>
                <w:kern w:val="0"/>
                <w:sz w:val="22"/>
                <w:szCs w:val="22"/>
              </w:rPr>
              <w:t>3</w:t>
            </w:r>
            <w:r>
              <w:rPr>
                <w:rFonts w:hint="eastAsia" w:ascii="宋体" w:hAnsi="宋体" w:cs="宋体"/>
                <w:kern w:val="0"/>
                <w:sz w:val="22"/>
                <w:szCs w:val="22"/>
              </w:rPr>
              <w:t>.在基层治理党建工作中，能够积极参加并按要求及时高质量完成各项工作和材料报送的</w:t>
            </w:r>
          </w:p>
        </w:tc>
        <w:tc>
          <w:tcPr>
            <w:tcW w:w="77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每人加0.2分</w:t>
            </w:r>
          </w:p>
        </w:tc>
        <w:tc>
          <w:tcPr>
            <w:tcW w:w="41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机关党委</w:t>
            </w:r>
          </w:p>
        </w:tc>
        <w:tc>
          <w:tcPr>
            <w:tcW w:w="730"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个人单独加分，不计入部门分值</w:t>
            </w:r>
          </w:p>
        </w:tc>
      </w:tr>
      <w:tr>
        <w:tblPrEx>
          <w:tblCellMar>
            <w:top w:w="15" w:type="dxa"/>
            <w:left w:w="15" w:type="dxa"/>
            <w:bottom w:w="15" w:type="dxa"/>
            <w:right w:w="15" w:type="dxa"/>
          </w:tblCellMar>
        </w:tblPrEx>
        <w:trPr>
          <w:trHeight w:val="625" w:hRule="atLeast"/>
        </w:trPr>
        <w:tc>
          <w:tcPr>
            <w:tcW w:w="556" w:type="pct"/>
            <w:vMerge w:val="continue"/>
            <w:tcBorders>
              <w:left w:val="single" w:color="000000" w:sz="4" w:space="0"/>
              <w:right w:val="single" w:color="000000" w:sz="4" w:space="0"/>
            </w:tcBorders>
            <w:vAlign w:val="center"/>
          </w:tcPr>
          <w:p>
            <w:pPr>
              <w:widowControl/>
              <w:jc w:val="center"/>
              <w:textAlignment w:val="center"/>
              <w:rPr>
                <w:rFonts w:ascii="宋体" w:hAnsi="宋体" w:cs="宋体"/>
                <w:b/>
                <w:sz w:val="24"/>
              </w:rPr>
            </w:pPr>
          </w:p>
        </w:tc>
        <w:tc>
          <w:tcPr>
            <w:tcW w:w="252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sz w:val="22"/>
                <w:szCs w:val="22"/>
              </w:rPr>
            </w:pPr>
            <w:r>
              <w:rPr>
                <w:rFonts w:hint="eastAsia" w:ascii="宋体" w:hAnsi="宋体" w:cs="宋体"/>
                <w:kern w:val="0"/>
                <w:sz w:val="22"/>
                <w:szCs w:val="22"/>
              </w:rPr>
              <w:t>4</w:t>
            </w:r>
            <w:r>
              <w:rPr>
                <w:rFonts w:ascii="宋体" w:hAnsi="宋体" w:cs="宋体"/>
                <w:kern w:val="0"/>
                <w:sz w:val="22"/>
                <w:szCs w:val="22"/>
              </w:rPr>
              <w:t>4</w:t>
            </w:r>
            <w:r>
              <w:rPr>
                <w:rFonts w:hint="eastAsia" w:ascii="宋体" w:hAnsi="宋体" w:cs="宋体"/>
                <w:kern w:val="0"/>
                <w:sz w:val="22"/>
                <w:szCs w:val="22"/>
              </w:rPr>
              <w:t>.在疫情防控期间积极参加定点包保、核酸检测、物资保障等防疫相关工作的</w:t>
            </w:r>
          </w:p>
        </w:tc>
        <w:tc>
          <w:tcPr>
            <w:tcW w:w="77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hint="eastAsia" w:ascii="宋体" w:hAnsi="宋体" w:cs="宋体"/>
                <w:kern w:val="0"/>
                <w:sz w:val="20"/>
                <w:szCs w:val="20"/>
              </w:rPr>
              <w:t>每人加0.2分</w:t>
            </w:r>
          </w:p>
        </w:tc>
        <w:tc>
          <w:tcPr>
            <w:tcW w:w="41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干部处</w:t>
            </w:r>
          </w:p>
        </w:tc>
        <w:tc>
          <w:tcPr>
            <w:tcW w:w="730" w:type="pct"/>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0"/>
                <w:szCs w:val="20"/>
              </w:rPr>
            </w:pPr>
          </w:p>
        </w:tc>
      </w:tr>
      <w:tr>
        <w:tblPrEx>
          <w:tblCellMar>
            <w:top w:w="15" w:type="dxa"/>
            <w:left w:w="15" w:type="dxa"/>
            <w:bottom w:w="15" w:type="dxa"/>
            <w:right w:w="15" w:type="dxa"/>
          </w:tblCellMar>
        </w:tblPrEx>
        <w:trPr>
          <w:trHeight w:val="610" w:hRule="atLeast"/>
        </w:trPr>
        <w:tc>
          <w:tcPr>
            <w:tcW w:w="556" w:type="pct"/>
            <w:vMerge w:val="continue"/>
            <w:tcBorders>
              <w:left w:val="single" w:color="000000" w:sz="4" w:space="0"/>
              <w:right w:val="single" w:color="000000" w:sz="4" w:space="0"/>
            </w:tcBorders>
            <w:vAlign w:val="center"/>
          </w:tcPr>
          <w:p>
            <w:pPr>
              <w:jc w:val="center"/>
              <w:rPr>
                <w:rFonts w:ascii="宋体" w:hAnsi="宋体" w:cs="宋体"/>
                <w:b/>
                <w:sz w:val="24"/>
              </w:rPr>
            </w:pPr>
          </w:p>
        </w:tc>
        <w:tc>
          <w:tcPr>
            <w:tcW w:w="252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FF0000"/>
                <w:sz w:val="22"/>
                <w:szCs w:val="22"/>
                <w:u w:val="single"/>
              </w:rPr>
            </w:pPr>
            <w:r>
              <w:rPr>
                <w:rFonts w:hint="eastAsia" w:ascii="宋体" w:hAnsi="宋体" w:cs="宋体"/>
                <w:b/>
                <w:color w:val="FF0000"/>
                <w:kern w:val="0"/>
                <w:sz w:val="22"/>
                <w:szCs w:val="22"/>
                <w:u w:val="single"/>
              </w:rPr>
              <w:t>删除：4</w:t>
            </w:r>
            <w:r>
              <w:rPr>
                <w:rFonts w:ascii="宋体" w:hAnsi="宋体" w:cs="宋体"/>
                <w:b/>
                <w:color w:val="FF0000"/>
                <w:kern w:val="0"/>
                <w:sz w:val="22"/>
                <w:szCs w:val="22"/>
                <w:u w:val="single"/>
              </w:rPr>
              <w:t>5</w:t>
            </w:r>
            <w:r>
              <w:rPr>
                <w:rFonts w:hint="eastAsia" w:ascii="宋体" w:hAnsi="宋体" w:cs="宋体"/>
                <w:b/>
                <w:color w:val="FF0000"/>
                <w:kern w:val="0"/>
                <w:sz w:val="22"/>
                <w:szCs w:val="22"/>
                <w:u w:val="single"/>
              </w:rPr>
              <w:t>.各部门起草制定并经相关会议讨论通过，以白城市中级人民法院名义下发指导性规范性文件的</w:t>
            </w:r>
          </w:p>
        </w:tc>
        <w:tc>
          <w:tcPr>
            <w:tcW w:w="77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hint="eastAsia" w:ascii="宋体" w:hAnsi="宋体" w:cs="宋体"/>
                <w:kern w:val="0"/>
                <w:sz w:val="22"/>
                <w:szCs w:val="22"/>
              </w:rPr>
              <w:t>每份加0.2分</w:t>
            </w:r>
          </w:p>
        </w:tc>
        <w:tc>
          <w:tcPr>
            <w:tcW w:w="41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宣教处</w:t>
            </w:r>
          </w:p>
        </w:tc>
        <w:tc>
          <w:tcPr>
            <w:tcW w:w="73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0"/>
                <w:szCs w:val="20"/>
              </w:rPr>
            </w:pPr>
          </w:p>
        </w:tc>
      </w:tr>
      <w:tr>
        <w:tblPrEx>
          <w:tblCellMar>
            <w:top w:w="15" w:type="dxa"/>
            <w:left w:w="15" w:type="dxa"/>
            <w:bottom w:w="15" w:type="dxa"/>
            <w:right w:w="15" w:type="dxa"/>
          </w:tblCellMar>
        </w:tblPrEx>
        <w:trPr>
          <w:trHeight w:val="645" w:hRule="atLeast"/>
        </w:trPr>
        <w:tc>
          <w:tcPr>
            <w:tcW w:w="556" w:type="pct"/>
            <w:vMerge w:val="continue"/>
            <w:tcBorders>
              <w:left w:val="single" w:color="000000" w:sz="4" w:space="0"/>
              <w:bottom w:val="single" w:color="000000" w:sz="4" w:space="0"/>
              <w:right w:val="single" w:color="000000" w:sz="4" w:space="0"/>
            </w:tcBorders>
            <w:vAlign w:val="center"/>
          </w:tcPr>
          <w:p>
            <w:pPr>
              <w:jc w:val="center"/>
              <w:rPr>
                <w:rFonts w:ascii="宋体" w:hAnsi="宋体" w:cs="宋体"/>
                <w:b/>
                <w:sz w:val="24"/>
              </w:rPr>
            </w:pPr>
          </w:p>
        </w:tc>
        <w:tc>
          <w:tcPr>
            <w:tcW w:w="252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hint="eastAsia" w:ascii="宋体" w:hAnsi="宋体" w:cs="宋体"/>
                <w:kern w:val="0"/>
                <w:sz w:val="22"/>
                <w:szCs w:val="22"/>
              </w:rPr>
              <w:t>4</w:t>
            </w:r>
            <w:r>
              <w:rPr>
                <w:rFonts w:ascii="宋体" w:hAnsi="宋体" w:cs="宋体"/>
                <w:kern w:val="0"/>
                <w:sz w:val="22"/>
                <w:szCs w:val="22"/>
              </w:rPr>
              <w:t>6</w:t>
            </w:r>
            <w:r>
              <w:rPr>
                <w:rFonts w:hint="eastAsia" w:ascii="宋体" w:hAnsi="宋体" w:cs="宋体"/>
                <w:kern w:val="0"/>
                <w:sz w:val="22"/>
                <w:szCs w:val="22"/>
              </w:rPr>
              <w:t>.部门完成职责范围以外的临时性且有重大影响的工作任务，取得良好成效并得到党组充分肯定的</w:t>
            </w:r>
          </w:p>
        </w:tc>
        <w:tc>
          <w:tcPr>
            <w:tcW w:w="77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hint="eastAsia" w:ascii="宋体" w:hAnsi="宋体" w:cs="宋体"/>
                <w:kern w:val="0"/>
                <w:sz w:val="22"/>
                <w:szCs w:val="22"/>
              </w:rPr>
              <w:t>每完成一项加0.2分</w:t>
            </w:r>
          </w:p>
        </w:tc>
        <w:tc>
          <w:tcPr>
            <w:tcW w:w="41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研究室</w:t>
            </w:r>
          </w:p>
        </w:tc>
        <w:tc>
          <w:tcPr>
            <w:tcW w:w="73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0"/>
                <w:szCs w:val="20"/>
              </w:rPr>
            </w:pPr>
          </w:p>
        </w:tc>
      </w:tr>
      <w:tr>
        <w:tblPrEx>
          <w:tblCellMar>
            <w:top w:w="15" w:type="dxa"/>
            <w:left w:w="15" w:type="dxa"/>
            <w:bottom w:w="15" w:type="dxa"/>
            <w:right w:w="15" w:type="dxa"/>
          </w:tblCellMar>
        </w:tblPrEx>
        <w:trPr>
          <w:trHeight w:val="1620" w:hRule="atLeast"/>
        </w:trPr>
        <w:tc>
          <w:tcPr>
            <w:tcW w:w="5000" w:type="pct"/>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2"/>
                <w:szCs w:val="22"/>
              </w:rPr>
            </w:pPr>
            <w:r>
              <w:rPr>
                <w:rFonts w:hint="eastAsia" w:ascii="宋体" w:hAnsi="宋体" w:cs="宋体"/>
                <w:kern w:val="0"/>
                <w:sz w:val="22"/>
                <w:szCs w:val="22"/>
              </w:rPr>
              <w:t>说明：</w:t>
            </w:r>
          </w:p>
          <w:p>
            <w:pPr>
              <w:widowControl/>
              <w:jc w:val="left"/>
              <w:textAlignment w:val="center"/>
              <w:rPr>
                <w:rFonts w:ascii="宋体" w:hAnsi="宋体" w:cs="宋体"/>
                <w:sz w:val="22"/>
                <w:szCs w:val="22"/>
              </w:rPr>
            </w:pPr>
            <w:r>
              <w:rPr>
                <w:rFonts w:hint="eastAsia" w:ascii="宋体" w:hAnsi="宋体" w:cs="宋体"/>
                <w:kern w:val="0"/>
                <w:sz w:val="22"/>
                <w:szCs w:val="22"/>
              </w:rPr>
              <w:t>1.本标准规定年度绩效考核加分项目及标准，由对应的考核成员单位负责考核。部门及其所属人员有符合加分标准情形的，均对部门加分。部门汇总本部门和个人取得的有效证明材料，填写加分申报表统一申报，部门单项加分不超过3分，累计加分不超过10分。                                                                                           2.年终考核结束前下发文件的在当年加分，之后的转下一年度。同一项目获得不同层级表彰奖励的，按最高标准加分。                                                        3.根据职责分工应正常完成的工作任务不予加分；加分项目系多个部门协同完成的，先由部门商定，商定不一致的，由部门分管领导对加分进行分配。</w:t>
            </w:r>
          </w:p>
        </w:tc>
      </w:tr>
    </w:tbl>
    <w:p>
      <w:pPr>
        <w:spacing w:line="600" w:lineRule="exact"/>
        <w:rPr>
          <w:rFonts w:ascii="仿宋" w:hAnsi="仿宋" w:eastAsia="仿宋" w:cs="Times New Roman"/>
          <w:bCs/>
          <w:kern w:val="21"/>
          <w:sz w:val="32"/>
          <w:szCs w:val="32"/>
        </w:rPr>
        <w:sectPr>
          <w:pgSz w:w="16838" w:h="11906" w:orient="landscape"/>
          <w:pgMar w:top="850" w:right="1134" w:bottom="850" w:left="1134" w:header="851" w:footer="992" w:gutter="0"/>
          <w:cols w:space="720" w:num="1"/>
          <w:docGrid w:type="lines" w:linePitch="312" w:charSpace="0"/>
        </w:sect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sz w:val="28"/>
        </w:rPr>
      </w:pPr>
    </w:p>
    <w:p>
      <w:pPr>
        <w:rPr>
          <w:rFonts w:ascii="仿宋" w:hAnsi="仿宋" w:eastAsia="仿宋"/>
          <w:sz w:val="28"/>
        </w:rPr>
      </w:pPr>
    </w:p>
    <w:p>
      <w:pPr>
        <w:ind w:left="-210" w:leftChars="-100"/>
        <w:jc w:val="left"/>
        <w:rPr>
          <w:rFonts w:ascii="仿宋" w:hAnsi="仿宋" w:eastAsia="仿宋"/>
          <w:sz w:val="28"/>
        </w:rPr>
      </w:pPr>
      <w:r>
        <w:rPr>
          <w:rFonts w:ascii="仿宋" w:hAnsi="仿宋" w:eastAsia="仿宋"/>
          <w:sz w:val="28"/>
        </w:rPr>
        <w:pict>
          <v:line id="_x0000_s1028" o:spid="_x0000_s1028" o:spt="20" style="position:absolute;left:0pt;flip:y;margin-left:-20.25pt;margin-top:0.75pt;height:0pt;width:458.25pt;z-index:251660288;mso-width-relative:page;mso-height-relative:page;" coordsize="21600,21600" o:gfxdata="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7Nn911gAA&#10;AAcBAAAPAAAAAAAAAAEAIAAAACIAAABkcnMvZG93bnJldi54bWxQSwECFAAUAAAACACHTuJASfGa&#10;GucBAACrAwAADgAAAAAAAAABACAAAAAlAQAAZHJzL2Uyb0RvYy54bWxQSwUGAAAAAAYABgBZAQAA&#10;fgUAAAAA&#10;">
            <v:path arrowok="t"/>
            <v:fill focussize="0,0"/>
            <v:stroke weight="1.25pt" joinstyle="miter"/>
            <v:imagedata o:title=""/>
            <o:lock v:ext="edit"/>
          </v:line>
        </w:pict>
      </w:r>
      <w:r>
        <w:rPr>
          <w:rFonts w:ascii="仿宋" w:hAnsi="仿宋" w:eastAsia="仿宋"/>
          <w:sz w:val="28"/>
        </w:rPr>
        <w:pict>
          <v:line id="_x0000_s1027" o:spid="_x0000_s1027" o:spt="20" style="position:absolute;left:0pt;flip:y;margin-left:-20.25pt;margin-top:30.15pt;height:0pt;width:458.25pt;z-index:251661312;mso-width-relative:page;mso-height-relative:page;" coordsize="21600,21600" o:gfxdata="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KYh9tgA&#10;AAAJAQAADwAAAAAAAAABACAAAAAiAAAAZHJzL2Rvd25yZXYueG1sUEsBAhQAFAAAAAgAh07iQDub&#10;VkXmAQAAqwMAAA4AAAAAAAAAAQAgAAAAJwEAAGRycy9lMm9Eb2MueG1sUEsFBgAAAAAGAAYAWQEA&#10;AH8FAAAAAA==&#10;">
            <v:path arrowok="t"/>
            <v:fill focussize="0,0"/>
            <v:stroke weight="1.25pt" joinstyle="miter"/>
            <v:imagedata o:title=""/>
            <o:lock v:ext="edit"/>
          </v:line>
        </w:pict>
      </w:r>
      <w:r>
        <w:rPr>
          <w:rFonts w:hint="eastAsia" w:ascii="仿宋" w:hAnsi="仿宋" w:eastAsia="仿宋"/>
          <w:sz w:val="28"/>
        </w:rPr>
        <w:t>大安市人民法院综合办公室                    2022年6月XX日印发</w:t>
      </w:r>
    </w:p>
    <w:sectPr>
      <w:pgSz w:w="11906" w:h="16838"/>
      <w:pgMar w:top="1134" w:right="1800"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iti SC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h/vfK8BAABLAwAADgAAAGRycy9lMm9Eb2MueG1srVPNahsxEL4X8g5C&#10;91hrE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29ALShy3OKL9j5f9z9/7X89kmtvTh1hj1lPAvDRc+wHHPPojOrPqQYHNX9RD&#10;MI6N3p2aK4dERH40n83nFYYExsYL4rPX5wFiupPekmw0FHB6pal8+yWmQ+qYkqs5f6uNKRM07h8H&#10;YmYPy9wPHLOVhtVwFLTy7Q719Dj4hjrcTErMvcO+5h0ZDRiN1WhsAuh1h9SmhVcMV5uEJAq3XOEA&#10;eyyMEyvqjtuVV+Lve8l6/QeW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Oh/vfK8BAABL&#10;AwAADgAAAAAAAAABACAAAAAeAQAAZHJzL2Uyb0RvYy54bWxQSwUGAAAAAAYABgBZAQAAPwUAAAAA&#10;">
          <v:path/>
          <v:fill on="f" focussize="0,0"/>
          <v:stroke on="f" joinstyle="miter"/>
          <v:imagedata o:title=""/>
          <o:lock v:ext="edit"/>
          <v:textbox inset="0mm,0mm,0mm,0mm" style="mso-fit-shape-to-text:t;">
            <w:txbxContent>
              <w:p>
                <w:pPr>
                  <w:pStyle w:val="3"/>
                  <w:rPr>
                    <w:rFonts w:eastAsia="宋体"/>
                  </w:rPr>
                </w:pPr>
                <w:r>
                  <w:fldChar w:fldCharType="begin"/>
                </w:r>
                <w:r>
                  <w:instrText xml:space="preserve"> PAGE  \* MERGEFORMAT </w:instrText>
                </w:r>
                <w:r>
                  <w:fldChar w:fldCharType="separate"/>
                </w:r>
                <w:r>
                  <w:t>8</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3119E7"/>
    <w:multiLevelType w:val="singleLevel"/>
    <w:tmpl w:val="A03119E7"/>
    <w:lvl w:ilvl="0" w:tentative="0">
      <w:start w:val="1"/>
      <w:numFmt w:val="decimal"/>
      <w:lvlText w:val="%1."/>
      <w:lvlJc w:val="left"/>
      <w:pPr>
        <w:tabs>
          <w:tab w:val="left" w:pos="312"/>
        </w:tabs>
      </w:pPr>
    </w:lvl>
  </w:abstractNum>
  <w:abstractNum w:abstractNumId="1">
    <w:nsid w:val="B53804DE"/>
    <w:multiLevelType w:val="singleLevel"/>
    <w:tmpl w:val="B53804DE"/>
    <w:lvl w:ilvl="0" w:tentative="0">
      <w:start w:val="1"/>
      <w:numFmt w:val="chineseCounting"/>
      <w:suff w:val="space"/>
      <w:lvlText w:val="第%1章"/>
      <w:lvlJc w:val="left"/>
      <w:rPr>
        <w:rFonts w:hint="eastAsia"/>
      </w:rPr>
    </w:lvl>
  </w:abstractNum>
  <w:abstractNum w:abstractNumId="2">
    <w:nsid w:val="C54CAE50"/>
    <w:multiLevelType w:val="singleLevel"/>
    <w:tmpl w:val="C54CAE50"/>
    <w:lvl w:ilvl="0" w:tentative="0">
      <w:start w:val="3"/>
      <w:numFmt w:val="chineseCounting"/>
      <w:suff w:val="nothing"/>
      <w:lvlText w:val="%1、"/>
      <w:lvlJc w:val="left"/>
      <w:rPr>
        <w:rFonts w:hint="eastAsia"/>
      </w:rPr>
    </w:lvl>
  </w:abstractNum>
  <w:abstractNum w:abstractNumId="3">
    <w:nsid w:val="3DE81D1F"/>
    <w:multiLevelType w:val="singleLevel"/>
    <w:tmpl w:val="3DE81D1F"/>
    <w:lvl w:ilvl="0" w:tentative="0">
      <w:start w:val="3"/>
      <w:numFmt w:val="chineseCounting"/>
      <w:suff w:val="nothing"/>
      <w:lvlText w:val="（%1）"/>
      <w:lvlJc w:val="left"/>
      <w:rPr>
        <w:rFonts w:hint="eastAsia"/>
      </w:rPr>
    </w:lvl>
  </w:abstractNum>
  <w:abstractNum w:abstractNumId="4">
    <w:nsid w:val="590C0527"/>
    <w:multiLevelType w:val="singleLevel"/>
    <w:tmpl w:val="590C0527"/>
    <w:lvl w:ilvl="0" w:tentative="0">
      <w:start w:val="6"/>
      <w:numFmt w:val="chineseCounting"/>
      <w:suff w:val="space"/>
      <w:lvlText w:val="第%1章"/>
      <w:lvlJc w:val="left"/>
      <w:rPr>
        <w:rFonts w:hint="eastAsia"/>
      </w:rPr>
    </w:lvl>
  </w:abstractNum>
  <w:abstractNum w:abstractNumId="5">
    <w:nsid w:val="5E83F26C"/>
    <w:multiLevelType w:val="singleLevel"/>
    <w:tmpl w:val="5E83F26C"/>
    <w:lvl w:ilvl="0" w:tentative="0">
      <w:start w:val="2"/>
      <w:numFmt w:val="chineseCounting"/>
      <w:suff w:val="space"/>
      <w:lvlText w:val="第%1章"/>
      <w:lvlJc w:val="left"/>
    </w:lvl>
  </w:abstractNum>
  <w:abstractNum w:abstractNumId="6">
    <w:nsid w:val="5E83F3FD"/>
    <w:multiLevelType w:val="singleLevel"/>
    <w:tmpl w:val="5E83F3FD"/>
    <w:lvl w:ilvl="0" w:tentative="0">
      <w:start w:val="1"/>
      <w:numFmt w:val="chineseCounting"/>
      <w:suff w:val="nothing"/>
      <w:lvlText w:val="（%1）"/>
      <w:lvlJc w:val="left"/>
    </w:lvl>
  </w:abstractNum>
  <w:num w:numId="1">
    <w:abstractNumId w:val="1"/>
  </w:num>
  <w:num w:numId="2">
    <w:abstractNumId w:val="6"/>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4E12FCE5-1CD0-4949-8CCC-C4A83EAD5E7F}" w:val="8MHxRn6cwrbqlP/u+gCNFmWEzOofIa0kYj57eTK21tAds9ZV3=X4vBJhDiyQGSULp"/>
    <w:docVar w:name="commondata" w:val="eyJoZGlkIjoiNzY4NzExMGU0YzYxNmJhYmQ1NmY5ZTRkNDk1NzVjNDMifQ=="/>
    <w:docVar w:name="DocumentID" w:val="{23D8C30A-F316-49AD-869A-414BD07557E6}"/>
  </w:docVars>
  <w:rsids>
    <w:rsidRoot w:val="00A23A36"/>
    <w:rsid w:val="0003184A"/>
    <w:rsid w:val="000426C1"/>
    <w:rsid w:val="00081E64"/>
    <w:rsid w:val="00087786"/>
    <w:rsid w:val="0009566F"/>
    <w:rsid w:val="000A0138"/>
    <w:rsid w:val="000A47C0"/>
    <w:rsid w:val="000B7F31"/>
    <w:rsid w:val="000E1E17"/>
    <w:rsid w:val="000F5E74"/>
    <w:rsid w:val="00114FF8"/>
    <w:rsid w:val="00143041"/>
    <w:rsid w:val="00145991"/>
    <w:rsid w:val="00164281"/>
    <w:rsid w:val="00170EE2"/>
    <w:rsid w:val="0019318A"/>
    <w:rsid w:val="001A450D"/>
    <w:rsid w:val="001C0BFF"/>
    <w:rsid w:val="001D07C1"/>
    <w:rsid w:val="001D30C6"/>
    <w:rsid w:val="001D57FD"/>
    <w:rsid w:val="001D7450"/>
    <w:rsid w:val="001E55DE"/>
    <w:rsid w:val="00203B19"/>
    <w:rsid w:val="00257791"/>
    <w:rsid w:val="002754C6"/>
    <w:rsid w:val="00294727"/>
    <w:rsid w:val="002A01D6"/>
    <w:rsid w:val="002A75E4"/>
    <w:rsid w:val="002B2073"/>
    <w:rsid w:val="002C2FC4"/>
    <w:rsid w:val="002D3BE0"/>
    <w:rsid w:val="002D4011"/>
    <w:rsid w:val="002D58E1"/>
    <w:rsid w:val="002E308E"/>
    <w:rsid w:val="002E5779"/>
    <w:rsid w:val="003057E9"/>
    <w:rsid w:val="00355006"/>
    <w:rsid w:val="00355AEE"/>
    <w:rsid w:val="00356183"/>
    <w:rsid w:val="00357BC9"/>
    <w:rsid w:val="00361E7E"/>
    <w:rsid w:val="00365E8C"/>
    <w:rsid w:val="00372762"/>
    <w:rsid w:val="003A6CFF"/>
    <w:rsid w:val="003B5B05"/>
    <w:rsid w:val="003B6E2D"/>
    <w:rsid w:val="003D0F4D"/>
    <w:rsid w:val="003E76D2"/>
    <w:rsid w:val="004217C0"/>
    <w:rsid w:val="00426D4C"/>
    <w:rsid w:val="00484605"/>
    <w:rsid w:val="004C5FF3"/>
    <w:rsid w:val="004F46C9"/>
    <w:rsid w:val="00512625"/>
    <w:rsid w:val="005324E6"/>
    <w:rsid w:val="0053769B"/>
    <w:rsid w:val="00593F2B"/>
    <w:rsid w:val="005B3668"/>
    <w:rsid w:val="005C3A3A"/>
    <w:rsid w:val="005D12ED"/>
    <w:rsid w:val="005D353D"/>
    <w:rsid w:val="005E0BBB"/>
    <w:rsid w:val="005F4610"/>
    <w:rsid w:val="00623F5B"/>
    <w:rsid w:val="00642AAE"/>
    <w:rsid w:val="00666DFC"/>
    <w:rsid w:val="006838B9"/>
    <w:rsid w:val="00691CBC"/>
    <w:rsid w:val="00691F07"/>
    <w:rsid w:val="006A794A"/>
    <w:rsid w:val="006B3D34"/>
    <w:rsid w:val="006B5067"/>
    <w:rsid w:val="00706ABD"/>
    <w:rsid w:val="007459F6"/>
    <w:rsid w:val="007571D3"/>
    <w:rsid w:val="00787B89"/>
    <w:rsid w:val="007906E2"/>
    <w:rsid w:val="007965E3"/>
    <w:rsid w:val="007A4860"/>
    <w:rsid w:val="007A4E0C"/>
    <w:rsid w:val="007F7B65"/>
    <w:rsid w:val="00817D81"/>
    <w:rsid w:val="008322EB"/>
    <w:rsid w:val="00863961"/>
    <w:rsid w:val="00873086"/>
    <w:rsid w:val="0089459E"/>
    <w:rsid w:val="008A26B2"/>
    <w:rsid w:val="008C5F57"/>
    <w:rsid w:val="008E55D0"/>
    <w:rsid w:val="00914F80"/>
    <w:rsid w:val="0092541C"/>
    <w:rsid w:val="00925565"/>
    <w:rsid w:val="0093060F"/>
    <w:rsid w:val="0093361A"/>
    <w:rsid w:val="00957FD2"/>
    <w:rsid w:val="00971196"/>
    <w:rsid w:val="00982846"/>
    <w:rsid w:val="00987336"/>
    <w:rsid w:val="009938B8"/>
    <w:rsid w:val="00A02B4A"/>
    <w:rsid w:val="00A12C5A"/>
    <w:rsid w:val="00A17F58"/>
    <w:rsid w:val="00A23A36"/>
    <w:rsid w:val="00A3452D"/>
    <w:rsid w:val="00A42077"/>
    <w:rsid w:val="00A47097"/>
    <w:rsid w:val="00AA3E66"/>
    <w:rsid w:val="00AD79F2"/>
    <w:rsid w:val="00AE0961"/>
    <w:rsid w:val="00AE1795"/>
    <w:rsid w:val="00AE3B88"/>
    <w:rsid w:val="00AE4B3E"/>
    <w:rsid w:val="00AF00A4"/>
    <w:rsid w:val="00B22428"/>
    <w:rsid w:val="00B442C9"/>
    <w:rsid w:val="00B46766"/>
    <w:rsid w:val="00BB3F71"/>
    <w:rsid w:val="00BC5928"/>
    <w:rsid w:val="00BD0572"/>
    <w:rsid w:val="00BF71E9"/>
    <w:rsid w:val="00C07C12"/>
    <w:rsid w:val="00C13DCF"/>
    <w:rsid w:val="00C1418B"/>
    <w:rsid w:val="00C84543"/>
    <w:rsid w:val="00C878A4"/>
    <w:rsid w:val="00CC24C8"/>
    <w:rsid w:val="00CC56EB"/>
    <w:rsid w:val="00CD1810"/>
    <w:rsid w:val="00CD4962"/>
    <w:rsid w:val="00CF40F9"/>
    <w:rsid w:val="00CF7B2F"/>
    <w:rsid w:val="00D04E20"/>
    <w:rsid w:val="00D142CB"/>
    <w:rsid w:val="00D87CF4"/>
    <w:rsid w:val="00D96E66"/>
    <w:rsid w:val="00DA45A7"/>
    <w:rsid w:val="00DC357A"/>
    <w:rsid w:val="00DD0524"/>
    <w:rsid w:val="00DE46D8"/>
    <w:rsid w:val="00E2132D"/>
    <w:rsid w:val="00E33921"/>
    <w:rsid w:val="00E34E01"/>
    <w:rsid w:val="00E4313B"/>
    <w:rsid w:val="00E64249"/>
    <w:rsid w:val="00E82401"/>
    <w:rsid w:val="00E82CCD"/>
    <w:rsid w:val="00EA6079"/>
    <w:rsid w:val="00EC32B8"/>
    <w:rsid w:val="00EE6645"/>
    <w:rsid w:val="00EF3154"/>
    <w:rsid w:val="00F112B0"/>
    <w:rsid w:val="00F12056"/>
    <w:rsid w:val="00F142FE"/>
    <w:rsid w:val="00F179F9"/>
    <w:rsid w:val="00F25904"/>
    <w:rsid w:val="00F337EE"/>
    <w:rsid w:val="00F34F28"/>
    <w:rsid w:val="00F42E42"/>
    <w:rsid w:val="00F6136D"/>
    <w:rsid w:val="00F80F49"/>
    <w:rsid w:val="00F95BE7"/>
    <w:rsid w:val="00FA323E"/>
    <w:rsid w:val="028169B7"/>
    <w:rsid w:val="02EF7061"/>
    <w:rsid w:val="04AD24C6"/>
    <w:rsid w:val="04C2026E"/>
    <w:rsid w:val="06B50534"/>
    <w:rsid w:val="083817E4"/>
    <w:rsid w:val="0E523C0B"/>
    <w:rsid w:val="11B64568"/>
    <w:rsid w:val="11CA3BD0"/>
    <w:rsid w:val="13196AAE"/>
    <w:rsid w:val="194677C1"/>
    <w:rsid w:val="19C6556F"/>
    <w:rsid w:val="1B41343E"/>
    <w:rsid w:val="1D4120DE"/>
    <w:rsid w:val="1D957514"/>
    <w:rsid w:val="22A36C98"/>
    <w:rsid w:val="23B625D2"/>
    <w:rsid w:val="24932383"/>
    <w:rsid w:val="25171583"/>
    <w:rsid w:val="259E73EB"/>
    <w:rsid w:val="25F0613E"/>
    <w:rsid w:val="265B06F4"/>
    <w:rsid w:val="2755200D"/>
    <w:rsid w:val="29CE17F3"/>
    <w:rsid w:val="2C0B7F80"/>
    <w:rsid w:val="2E234255"/>
    <w:rsid w:val="2E366DFE"/>
    <w:rsid w:val="2E954751"/>
    <w:rsid w:val="2F8A0D13"/>
    <w:rsid w:val="2FDE256F"/>
    <w:rsid w:val="35426493"/>
    <w:rsid w:val="38DC4E19"/>
    <w:rsid w:val="3EBD1A23"/>
    <w:rsid w:val="45B31191"/>
    <w:rsid w:val="45CF5B9A"/>
    <w:rsid w:val="48A56C9E"/>
    <w:rsid w:val="48DB5115"/>
    <w:rsid w:val="4917664A"/>
    <w:rsid w:val="4A7C04E2"/>
    <w:rsid w:val="4A8F5248"/>
    <w:rsid w:val="4B8734A8"/>
    <w:rsid w:val="4BB3746B"/>
    <w:rsid w:val="4BF742DF"/>
    <w:rsid w:val="4D894933"/>
    <w:rsid w:val="4DE05EFB"/>
    <w:rsid w:val="4DFA0667"/>
    <w:rsid w:val="529D4777"/>
    <w:rsid w:val="534E7062"/>
    <w:rsid w:val="541E1F11"/>
    <w:rsid w:val="553478D1"/>
    <w:rsid w:val="593F3564"/>
    <w:rsid w:val="5DA141C8"/>
    <w:rsid w:val="5F6C5ED0"/>
    <w:rsid w:val="61017E5C"/>
    <w:rsid w:val="65A8799D"/>
    <w:rsid w:val="65BE6A3C"/>
    <w:rsid w:val="671C33B4"/>
    <w:rsid w:val="68EF5B30"/>
    <w:rsid w:val="69EE248F"/>
    <w:rsid w:val="6A76228E"/>
    <w:rsid w:val="6C410AB3"/>
    <w:rsid w:val="6C935262"/>
    <w:rsid w:val="6D8E7F66"/>
    <w:rsid w:val="6FF811F7"/>
    <w:rsid w:val="72887DFB"/>
    <w:rsid w:val="73D23B73"/>
    <w:rsid w:val="76FC306B"/>
    <w:rsid w:val="78F0677C"/>
    <w:rsid w:val="7C37390F"/>
    <w:rsid w:val="7E394C21"/>
    <w:rsid w:val="7E5A15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66"/>
        <o:r id="V:Rule2" type="connector" idref="#_x0000_s1067"/>
        <o:r id="V:Rule3" type="connector" idref="#_x0000_s1068"/>
        <o:r id="V:Rule4" type="connector" idref="#_x0000_s1071"/>
        <o:r id="V:Rule5" type="connector" idref="#_x0000_s1072"/>
        <o:r id="V:Rule6" type="connector" idref="#_x0000_s1073"/>
        <o:r id="V:Rule7" type="connector" idref="#_x0000_s1088"/>
        <o:r id="V:Rule8" type="connector" idref="#_x0000_s1089"/>
        <o:r id="V:Rule9" type="connector" idref="#_x0000_s1090"/>
        <o:r id="V:Rule10" type="connector" idref="#_x0000_s1093"/>
        <o:r id="V:Rule11" type="connector" idref="#_x0000_s1094"/>
        <o:r id="V:Rule12" type="connector" idref="#_x0000_s1099"/>
        <o:r id="V:Rule13" type="connector" idref="#_x0000_s1100"/>
        <o:r id="V:Rule14" type="connector" idref="#_x0000_s110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paragraph" w:customStyle="1" w:styleId="8">
    <w:name w:val="p0"/>
    <w:basedOn w:val="1"/>
    <w:qFormat/>
    <w:uiPriority w:val="0"/>
    <w:pPr>
      <w:widowControl/>
      <w:spacing w:beforeAutospacing="1" w:afterAutospacing="1"/>
      <w:jc w:val="left"/>
    </w:pPr>
    <w:rPr>
      <w:rFonts w:hint="eastAsia" w:ascii="宋体" w:hAnsi="Calibri" w:eastAsia="宋体" w:cs="Times New Roman"/>
      <w:kern w:val="0"/>
      <w:sz w:val="24"/>
    </w:rPr>
  </w:style>
  <w:style w:type="character" w:customStyle="1" w:styleId="9">
    <w:name w:val="页眉 Char"/>
    <w:basedOn w:val="7"/>
    <w:link w:val="4"/>
    <w:qFormat/>
    <w:uiPriority w:val="0"/>
    <w:rPr>
      <w:kern w:val="2"/>
      <w:sz w:val="18"/>
      <w:szCs w:val="18"/>
    </w:rPr>
  </w:style>
  <w:style w:type="character" w:customStyle="1" w:styleId="10">
    <w:name w:val="页脚 Char"/>
    <w:basedOn w:val="7"/>
    <w:link w:val="3"/>
    <w:qFormat/>
    <w:uiPriority w:val="0"/>
    <w:rPr>
      <w:kern w:val="2"/>
      <w:sz w:val="18"/>
      <w:szCs w:val="18"/>
    </w:rPr>
  </w:style>
  <w:style w:type="character" w:customStyle="1" w:styleId="11">
    <w:name w:val="批注框文本 Char"/>
    <w:basedOn w:val="7"/>
    <w:link w:val="2"/>
    <w:qFormat/>
    <w:uiPriority w:val="0"/>
    <w:rPr>
      <w:kern w:val="2"/>
      <w:sz w:val="18"/>
      <w:szCs w:val="18"/>
    </w:rPr>
  </w:style>
  <w:style w:type="character" w:customStyle="1" w:styleId="12">
    <w:name w:val="font31"/>
    <w:basedOn w:val="7"/>
    <w:qFormat/>
    <w:uiPriority w:val="0"/>
    <w:rPr>
      <w:rFonts w:hint="eastAsia" w:ascii="宋体" w:hAnsi="宋体" w:eastAsia="宋体" w:cs="宋体"/>
      <w:color w:val="000000"/>
      <w:sz w:val="22"/>
      <w:szCs w:val="22"/>
      <w:u w:val="none"/>
    </w:rPr>
  </w:style>
  <w:style w:type="paragraph" w:styleId="13">
    <w:name w:val="List Paragraph"/>
    <w:basedOn w:val="1"/>
    <w:unhideWhenUsed/>
    <w:qFormat/>
    <w:uiPriority w:val="34"/>
    <w:pPr>
      <w:ind w:firstLine="420" w:firstLineChars="200"/>
    </w:pPr>
  </w:style>
  <w:style w:type="character" w:customStyle="1" w:styleId="14">
    <w:name w:val="font91"/>
    <w:basedOn w:val="7"/>
    <w:qFormat/>
    <w:uiPriority w:val="0"/>
    <w:rPr>
      <w:rFonts w:hint="eastAsia" w:ascii="宋体" w:hAnsi="宋体" w:eastAsia="宋体" w:cs="宋体"/>
      <w:color w:val="000000"/>
      <w:sz w:val="36"/>
      <w:szCs w:val="36"/>
      <w:u w:val="none"/>
    </w:rPr>
  </w:style>
  <w:style w:type="character" w:customStyle="1" w:styleId="15">
    <w:name w:val="font71"/>
    <w:basedOn w:val="7"/>
    <w:qFormat/>
    <w:uiPriority w:val="0"/>
    <w:rPr>
      <w:rFonts w:ascii="Heiti SC Light" w:hAnsi="Heiti SC Light" w:eastAsia="Heiti SC Light" w:cs="Heiti SC Light"/>
      <w:color w:val="000000"/>
      <w:sz w:val="36"/>
      <w:szCs w:val="36"/>
      <w:u w:val="none"/>
    </w:rPr>
  </w:style>
  <w:style w:type="character" w:customStyle="1" w:styleId="16">
    <w:name w:val="font01"/>
    <w:basedOn w:val="7"/>
    <w:qFormat/>
    <w:uiPriority w:val="0"/>
    <w:rPr>
      <w:rFonts w:hint="eastAsia" w:ascii="宋体" w:hAnsi="宋体" w:eastAsia="宋体" w:cs="宋体"/>
      <w:b/>
      <w:color w:val="000000"/>
      <w:sz w:val="36"/>
      <w:szCs w:val="36"/>
      <w:u w:val="none"/>
    </w:rPr>
  </w:style>
  <w:style w:type="character" w:customStyle="1" w:styleId="17">
    <w:name w:val="font21"/>
    <w:basedOn w:val="7"/>
    <w:qFormat/>
    <w:uiPriority w:val="0"/>
    <w:rPr>
      <w:rFonts w:hint="eastAsia" w:ascii="宋体" w:hAnsi="宋体" w:eastAsia="宋体" w:cs="宋体"/>
      <w:b/>
      <w:color w:val="000000"/>
      <w:sz w:val="40"/>
      <w:szCs w:val="4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68"/>
    <customShpInfo spid="_x0000_s1072"/>
    <customShpInfo spid="_x0000_s1073"/>
    <customShpInfo spid="_x0000_s1088"/>
    <customShpInfo spid="_x0000_s1066"/>
    <customShpInfo spid="_x0000_s1071"/>
    <customShpInfo spid="_x0000_s1067"/>
    <customShpInfo spid="_x0000_s1090"/>
    <customShpInfo spid="_x0000_s1089"/>
    <customShpInfo spid="_x0000_s1102"/>
    <customShpInfo spid="_x0000_s1093"/>
    <customShpInfo spid="_x0000_s1099"/>
    <customShpInfo spid="_x0000_s1100"/>
    <customShpInfo spid="_x0000_s1094"/>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01EA32-D0B4-4D03-8F28-C7938DFDE9C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41</Pages>
  <Words>20432</Words>
  <Characters>21525</Characters>
  <Lines>170</Lines>
  <Paragraphs>48</Paragraphs>
  <TotalTime>6</TotalTime>
  <ScaleCrop>false</ScaleCrop>
  <LinksUpToDate>false</LinksUpToDate>
  <CharactersWithSpaces>22458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2022-11-30T06:54:00Z</dcterms:created>
  <dc:creator>jyw</dc:creator>
  <cp:lastModifiedBy>Administrator</cp:lastModifiedBy>
  <cp:lastPrinted>2022-11-30T07:32:59Z</cp:lastPrinted>
  <dcterms:modified xsi:type="dcterms:W3CDTF">2022-11-30T07:33:04Z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436CDD6E52074693B72712EEF5B43099</vt:lpwstr>
  </property>
</Properties>
</file>