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E3" w:rsidRPr="00B31484" w:rsidRDefault="00BD4158" w:rsidP="000F78BE">
      <w:pPr>
        <w:spacing w:line="500" w:lineRule="exact"/>
        <w:jc w:val="center"/>
        <w:rPr>
          <w:rFonts w:asciiTheme="majorEastAsia" w:eastAsiaTheme="majorEastAsia" w:hAnsiTheme="majorEastAsia" w:cs="宋体"/>
          <w:b/>
          <w:bCs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 xml:space="preserve"> </w:t>
      </w:r>
      <w:r w:rsidR="00322E32" w:rsidRPr="00B31484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20</w:t>
      </w:r>
      <w:r w:rsidR="00426801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20</w:t>
      </w:r>
      <w:r w:rsidR="00322E32" w:rsidRPr="00B31484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年</w:t>
      </w:r>
      <w:r w:rsidR="00C57773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1-</w:t>
      </w:r>
      <w:r w:rsidR="0020409E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12</w:t>
      </w:r>
      <w:r w:rsidR="00C57773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月</w:t>
      </w:r>
    </w:p>
    <w:p w:rsidR="00520B63" w:rsidRPr="00B31484" w:rsidRDefault="00093372" w:rsidP="000F78BE">
      <w:pPr>
        <w:spacing w:line="500" w:lineRule="exact"/>
        <w:jc w:val="center"/>
        <w:rPr>
          <w:rFonts w:asciiTheme="majorEastAsia" w:eastAsiaTheme="majorEastAsia" w:hAnsiTheme="majorEastAsia" w:cs="宋体"/>
          <w:b/>
          <w:bCs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洮北</w:t>
      </w:r>
      <w:r w:rsidR="00CF0DE3" w:rsidRPr="00B31484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法院</w:t>
      </w:r>
      <w:r w:rsidR="00322E32" w:rsidRPr="00B31484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审判运行态势分析</w:t>
      </w:r>
      <w:r w:rsidR="002B48F9" w:rsidRPr="00B31484">
        <w:rPr>
          <w:rFonts w:asciiTheme="majorEastAsia" w:eastAsiaTheme="majorEastAsia" w:hAnsiTheme="majorEastAsia" w:cs="宋体" w:hint="eastAsia"/>
          <w:b/>
          <w:bCs/>
          <w:color w:val="000000" w:themeColor="text1"/>
          <w:sz w:val="44"/>
          <w:szCs w:val="44"/>
        </w:rPr>
        <w:t>报告</w:t>
      </w:r>
    </w:p>
    <w:p w:rsidR="00E87A4B" w:rsidRPr="00B31484" w:rsidRDefault="00E87A4B" w:rsidP="00274805">
      <w:pPr>
        <w:spacing w:line="360" w:lineRule="auto"/>
        <w:ind w:firstLineChars="200" w:firstLine="640"/>
        <w:rPr>
          <w:rFonts w:hAnsi="黑体" w:cs="黑体"/>
          <w:bCs/>
          <w:color w:val="000000" w:themeColor="text1"/>
        </w:rPr>
      </w:pPr>
    </w:p>
    <w:p w:rsidR="002F5116" w:rsidRPr="00963153" w:rsidRDefault="00A82481" w:rsidP="00734840">
      <w:pPr>
        <w:spacing w:line="360" w:lineRule="auto"/>
        <w:ind w:firstLineChars="196" w:firstLine="630"/>
        <w:rPr>
          <w:rFonts w:ascii="楷体_GB2312" w:eastAsia="楷体_GB2312" w:hAnsi="楷体" w:cs="黑体"/>
          <w:b/>
          <w:bCs/>
          <w:color w:val="000000" w:themeColor="text1"/>
        </w:rPr>
      </w:pPr>
      <w:bookmarkStart w:id="0" w:name="_GoBack"/>
      <w:bookmarkEnd w:id="0"/>
      <w:r w:rsidRPr="00963153">
        <w:rPr>
          <w:rFonts w:ascii="楷体_GB2312" w:eastAsia="楷体_GB2312" w:hAnsi="楷体" w:cs="黑体" w:hint="eastAsia"/>
          <w:b/>
          <w:bCs/>
          <w:color w:val="000000" w:themeColor="text1"/>
        </w:rPr>
        <w:t>（一）</w:t>
      </w:r>
      <w:r w:rsidR="00093372">
        <w:rPr>
          <w:rFonts w:ascii="楷体_GB2312" w:eastAsia="楷体_GB2312" w:hAnsi="楷体" w:cs="黑体" w:hint="eastAsia"/>
          <w:b/>
          <w:bCs/>
          <w:color w:val="000000" w:themeColor="text1"/>
        </w:rPr>
        <w:t>洮北</w:t>
      </w:r>
      <w:r w:rsidR="002F5116" w:rsidRPr="00963153">
        <w:rPr>
          <w:rFonts w:ascii="楷体_GB2312" w:eastAsia="楷体_GB2312" w:hAnsi="楷体" w:cs="黑体" w:hint="eastAsia"/>
          <w:b/>
          <w:bCs/>
          <w:color w:val="000000" w:themeColor="text1"/>
        </w:rPr>
        <w:t>法院收结案情况</w:t>
      </w:r>
    </w:p>
    <w:p w:rsidR="00D05DA6" w:rsidRDefault="000A183A" w:rsidP="009B04B1">
      <w:pPr>
        <w:spacing w:line="360" w:lineRule="auto"/>
        <w:ind w:firstLineChars="200" w:firstLine="643"/>
        <w:rPr>
          <w:rFonts w:hAnsi="仿宋_GB2312" w:cs="仿宋_GB2312"/>
          <w:b/>
          <w:color w:val="000000" w:themeColor="text1"/>
        </w:rPr>
      </w:pPr>
      <w:r w:rsidRPr="00B31484">
        <w:rPr>
          <w:rFonts w:hAnsi="仿宋_GB2312" w:cs="仿宋_GB2312" w:hint="eastAsia"/>
          <w:b/>
          <w:color w:val="000000" w:themeColor="text1"/>
        </w:rPr>
        <w:t>1.</w:t>
      </w:r>
      <w:r w:rsidR="00093372">
        <w:rPr>
          <w:rFonts w:hAnsi="仿宋_GB2312" w:cs="仿宋_GB2312" w:hint="eastAsia"/>
          <w:b/>
          <w:color w:val="000000" w:themeColor="text1"/>
        </w:rPr>
        <w:t>洮北</w:t>
      </w:r>
      <w:r w:rsidRPr="00B31484">
        <w:rPr>
          <w:rFonts w:hAnsi="仿宋_GB2312" w:cs="仿宋_GB2312" w:hint="eastAsia"/>
          <w:b/>
          <w:color w:val="000000" w:themeColor="text1"/>
        </w:rPr>
        <w:t>法院收结案总体情况</w:t>
      </w:r>
      <w:r w:rsidR="00E02025" w:rsidRPr="00B31484">
        <w:rPr>
          <w:rFonts w:hAnsi="仿宋_GB2312" w:cs="仿宋_GB2312" w:hint="eastAsia"/>
          <w:b/>
          <w:color w:val="000000" w:themeColor="text1"/>
        </w:rPr>
        <w:t>。</w:t>
      </w:r>
    </w:p>
    <w:p w:rsidR="00D05DA6" w:rsidRDefault="00EB3FFD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20409E">
        <w:rPr>
          <w:rFonts w:hAnsi="仿宋_GB2312" w:cs="仿宋_GB2312" w:hint="eastAsia"/>
          <w:color w:val="000000" w:themeColor="text1"/>
        </w:rPr>
        <w:t>12</w:t>
      </w:r>
      <w:r w:rsidR="00B034B0" w:rsidRPr="00B31484">
        <w:rPr>
          <w:rFonts w:hAnsi="仿宋_GB2312" w:cs="仿宋_GB2312" w:hint="eastAsia"/>
          <w:color w:val="000000" w:themeColor="text1"/>
        </w:rPr>
        <w:t>，</w:t>
      </w:r>
      <w:r w:rsidR="00093372">
        <w:rPr>
          <w:rFonts w:hAnsi="仿宋_GB2312" w:cs="仿宋_GB2312" w:hint="eastAsia"/>
          <w:color w:val="000000" w:themeColor="text1"/>
        </w:rPr>
        <w:t>洮北</w:t>
      </w:r>
      <w:r w:rsidR="00B034B0" w:rsidRPr="00B31484">
        <w:rPr>
          <w:rFonts w:hAnsi="仿宋_GB2312" w:cs="仿宋_GB2312" w:hint="eastAsia"/>
          <w:color w:val="000000" w:themeColor="text1"/>
        </w:rPr>
        <w:t>法院</w:t>
      </w:r>
      <w:r w:rsidR="003473FC" w:rsidRPr="00B31484">
        <w:rPr>
          <w:rFonts w:hAnsi="仿宋_GB2312" w:cs="仿宋_GB2312" w:hint="eastAsia"/>
          <w:color w:val="000000" w:themeColor="text1"/>
        </w:rPr>
        <w:t>受案</w:t>
      </w:r>
      <w:r w:rsidR="006D4AEA" w:rsidRPr="00B31484">
        <w:rPr>
          <w:rFonts w:hAnsi="仿宋_GB2312" w:cs="仿宋_GB2312" w:hint="eastAsia"/>
          <w:color w:val="000000" w:themeColor="text1"/>
        </w:rPr>
        <w:t>总数为</w:t>
      </w:r>
      <w:r w:rsidR="0020409E">
        <w:rPr>
          <w:rFonts w:hint="eastAsia"/>
        </w:rPr>
        <w:t>9198</w:t>
      </w:r>
      <w:r w:rsidR="00B034B0" w:rsidRPr="00B31484">
        <w:rPr>
          <w:rFonts w:hAnsi="仿宋_GB2312" w:cs="仿宋_GB2312" w:hint="eastAsia"/>
          <w:color w:val="000000" w:themeColor="text1"/>
        </w:rPr>
        <w:t>件,</w:t>
      </w:r>
      <w:r w:rsidR="00A82481" w:rsidRPr="00B31484">
        <w:rPr>
          <w:rFonts w:hAnsi="仿宋_GB2312" w:cs="仿宋_GB2312" w:hint="eastAsia"/>
          <w:color w:val="000000" w:themeColor="text1"/>
        </w:rPr>
        <w:t>同比</w:t>
      </w:r>
      <w:r w:rsidR="00426801">
        <w:rPr>
          <w:rFonts w:hAnsi="仿宋_GB2312" w:cs="仿宋_GB2312" w:hint="eastAsia"/>
          <w:color w:val="000000" w:themeColor="text1"/>
        </w:rPr>
        <w:t>下降</w:t>
      </w:r>
      <w:r w:rsidR="0020409E">
        <w:rPr>
          <w:rFonts w:hAnsi="仿宋_GB2312" w:cs="仿宋_GB2312" w:hint="eastAsia"/>
          <w:color w:val="000000" w:themeColor="text1"/>
        </w:rPr>
        <w:t>10.27</w:t>
      </w:r>
      <w:r w:rsidR="00A82481" w:rsidRPr="00B31484">
        <w:rPr>
          <w:rFonts w:hAnsi="仿宋_GB2312" w:cs="仿宋_GB2312" w:hint="eastAsia"/>
          <w:color w:val="000000" w:themeColor="text1"/>
        </w:rPr>
        <w:t>%</w:t>
      </w:r>
      <w:r w:rsidR="00B034B0" w:rsidRPr="00B31484">
        <w:rPr>
          <w:rFonts w:hAnsi="仿宋_GB2312" w:cs="仿宋_GB2312" w:hint="eastAsia"/>
          <w:color w:val="000000" w:themeColor="text1"/>
        </w:rPr>
        <w:t>，其中，</w:t>
      </w:r>
      <w:r w:rsidR="006D4AEA" w:rsidRPr="00B31484">
        <w:rPr>
          <w:rFonts w:hAnsi="仿宋_GB2312" w:cs="仿宋_GB2312" w:hint="eastAsia"/>
          <w:color w:val="000000" w:themeColor="text1"/>
        </w:rPr>
        <w:t>诉讼案件</w:t>
      </w:r>
      <w:r w:rsidR="0020409E">
        <w:rPr>
          <w:rFonts w:hint="eastAsia"/>
        </w:rPr>
        <w:t>5935</w:t>
      </w:r>
      <w:r w:rsidR="00D56C16" w:rsidRPr="00B31484">
        <w:rPr>
          <w:rFonts w:hAnsi="仿宋_GB2312" w:cs="仿宋_GB2312" w:hint="eastAsia"/>
          <w:color w:val="000000" w:themeColor="text1"/>
        </w:rPr>
        <w:t>件，同比</w:t>
      </w:r>
      <w:r w:rsidR="00426801">
        <w:rPr>
          <w:rFonts w:hAnsi="仿宋_GB2312" w:cs="仿宋_GB2312" w:hint="eastAsia"/>
          <w:color w:val="000000" w:themeColor="text1"/>
        </w:rPr>
        <w:t>下降</w:t>
      </w:r>
      <w:r w:rsidR="0020409E">
        <w:rPr>
          <w:rFonts w:hAnsi="仿宋_GB2312" w:cs="仿宋_GB2312" w:hint="eastAsia"/>
          <w:color w:val="000000" w:themeColor="text1"/>
        </w:rPr>
        <w:t>8.38</w:t>
      </w:r>
      <w:r w:rsidR="00D56C16" w:rsidRPr="00B31484">
        <w:rPr>
          <w:rFonts w:hAnsi="仿宋_GB2312" w:cs="仿宋_GB2312" w:hint="eastAsia"/>
          <w:color w:val="000000" w:themeColor="text1"/>
        </w:rPr>
        <w:t>%</w:t>
      </w:r>
      <w:r w:rsidR="006D4AEA" w:rsidRPr="00B31484">
        <w:rPr>
          <w:rFonts w:hAnsi="仿宋_GB2312" w:cs="仿宋_GB2312" w:hint="eastAsia"/>
          <w:color w:val="000000" w:themeColor="text1"/>
        </w:rPr>
        <w:t>，执行案件</w:t>
      </w:r>
      <w:r w:rsidR="0020409E">
        <w:rPr>
          <w:rFonts w:hint="eastAsia"/>
        </w:rPr>
        <w:t>3263</w:t>
      </w:r>
      <w:r w:rsidR="00D56C16" w:rsidRPr="00B31484">
        <w:rPr>
          <w:rFonts w:hAnsi="仿宋_GB2312" w:cs="仿宋_GB2312" w:hint="eastAsia"/>
          <w:color w:val="000000" w:themeColor="text1"/>
        </w:rPr>
        <w:t>件，同比</w:t>
      </w:r>
      <w:r w:rsidR="00426801">
        <w:rPr>
          <w:rFonts w:hAnsi="仿宋_GB2312" w:cs="仿宋_GB2312" w:hint="eastAsia"/>
          <w:color w:val="000000" w:themeColor="text1"/>
        </w:rPr>
        <w:t>下降</w:t>
      </w:r>
      <w:r w:rsidR="0020409E">
        <w:rPr>
          <w:rFonts w:hAnsi="仿宋_GB2312" w:cs="仿宋_GB2312" w:hint="eastAsia"/>
          <w:color w:val="000000" w:themeColor="text1"/>
        </w:rPr>
        <w:t>13.52</w:t>
      </w:r>
      <w:r w:rsidR="00D56C16" w:rsidRPr="00B31484">
        <w:rPr>
          <w:rFonts w:hAnsi="仿宋_GB2312" w:cs="仿宋_GB2312" w:hint="eastAsia"/>
          <w:color w:val="000000" w:themeColor="text1"/>
        </w:rPr>
        <w:t>%</w:t>
      </w:r>
      <w:r w:rsidR="006D4AEA" w:rsidRPr="00B31484">
        <w:rPr>
          <w:rFonts w:hAnsi="仿宋_GB2312" w:cs="仿宋_GB2312" w:hint="eastAsia"/>
          <w:color w:val="000000" w:themeColor="text1"/>
        </w:rPr>
        <w:t>；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</w:t>
      </w:r>
      <w:r w:rsidR="0020409E">
        <w:rPr>
          <w:rFonts w:hAnsi="仿宋_GB2312" w:cs="仿宋_GB2312" w:hint="eastAsia"/>
          <w:color w:val="000000" w:themeColor="text1"/>
        </w:rPr>
        <w:t>-12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756E39">
        <w:rPr>
          <w:rFonts w:hAnsi="仿宋_GB2312" w:cs="仿宋_GB2312" w:hint="eastAsia"/>
          <w:color w:val="000000" w:themeColor="text1"/>
        </w:rPr>
        <w:t>旧存</w:t>
      </w:r>
      <w:r w:rsidR="00426801">
        <w:rPr>
          <w:rFonts w:hAnsi="仿宋_GB2312" w:cs="仿宋_GB2312" w:hint="eastAsia"/>
          <w:color w:val="000000" w:themeColor="text1"/>
        </w:rPr>
        <w:t>473</w:t>
      </w:r>
      <w:r w:rsidR="00B034B0" w:rsidRPr="00B31484">
        <w:rPr>
          <w:rFonts w:hAnsi="仿宋_GB2312" w:cs="仿宋_GB2312" w:hint="eastAsia"/>
          <w:color w:val="000000" w:themeColor="text1"/>
        </w:rPr>
        <w:t>件</w:t>
      </w:r>
      <w:r w:rsidR="00594218">
        <w:rPr>
          <w:rFonts w:hAnsi="仿宋_GB2312" w:cs="仿宋_GB2312" w:hint="eastAsia"/>
          <w:color w:val="000000" w:themeColor="text1"/>
        </w:rPr>
        <w:t>（诉讼</w:t>
      </w:r>
      <w:r w:rsidR="00426801">
        <w:rPr>
          <w:rFonts w:hint="eastAsia"/>
        </w:rPr>
        <w:t>311</w:t>
      </w:r>
      <w:r w:rsidR="0006643F">
        <w:rPr>
          <w:rFonts w:hAnsi="仿宋_GB2312" w:cs="仿宋_GB2312" w:hint="eastAsia"/>
          <w:color w:val="000000" w:themeColor="text1"/>
        </w:rPr>
        <w:t>件、执行</w:t>
      </w:r>
      <w:r w:rsidR="00426801">
        <w:rPr>
          <w:rFonts w:hint="eastAsia"/>
        </w:rPr>
        <w:t>162</w:t>
      </w:r>
      <w:r w:rsidR="00594218">
        <w:rPr>
          <w:rFonts w:hAnsi="仿宋_GB2312" w:cs="仿宋_GB2312" w:hint="eastAsia"/>
          <w:color w:val="000000" w:themeColor="text1"/>
        </w:rPr>
        <w:t>件）</w:t>
      </w:r>
      <w:r w:rsidR="00B034B0" w:rsidRPr="00B31484">
        <w:rPr>
          <w:rFonts w:hAnsi="仿宋_GB2312" w:cs="仿宋_GB2312" w:hint="eastAsia"/>
          <w:color w:val="000000" w:themeColor="text1"/>
        </w:rPr>
        <w:t>,同比</w:t>
      </w:r>
      <w:r w:rsidR="00426801">
        <w:rPr>
          <w:rFonts w:hAnsi="仿宋_GB2312" w:cs="仿宋_GB2312" w:hint="eastAsia"/>
          <w:color w:val="000000" w:themeColor="text1"/>
        </w:rPr>
        <w:t>下降</w:t>
      </w:r>
      <w:r w:rsidR="0020409E">
        <w:rPr>
          <w:rFonts w:hAnsi="仿宋_GB2312" w:cs="仿宋_GB2312" w:hint="eastAsia"/>
          <w:color w:val="000000" w:themeColor="text1"/>
        </w:rPr>
        <w:t>53.31</w:t>
      </w:r>
      <w:r w:rsidR="006D4AEA" w:rsidRPr="00B31484">
        <w:rPr>
          <w:rFonts w:hAnsi="仿宋_GB2312" w:cs="仿宋_GB2312" w:hint="eastAsia"/>
          <w:color w:val="000000" w:themeColor="text1"/>
        </w:rPr>
        <w:t>%</w:t>
      </w:r>
      <w:r>
        <w:rPr>
          <w:rFonts w:hAnsi="仿宋_GB2312" w:cs="仿宋_GB2312" w:hint="eastAsia"/>
          <w:color w:val="000000" w:themeColor="text1"/>
        </w:rPr>
        <w:t>。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20409E">
        <w:rPr>
          <w:rFonts w:hAnsi="仿宋_GB2312" w:cs="仿宋_GB2312" w:hint="eastAsia"/>
          <w:color w:val="000000" w:themeColor="text1"/>
        </w:rPr>
        <w:t>12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新收</w:t>
      </w:r>
      <w:r w:rsidR="0020409E">
        <w:rPr>
          <w:rFonts w:hint="eastAsia"/>
        </w:rPr>
        <w:t>8725</w:t>
      </w:r>
      <w:r w:rsidR="00093372" w:rsidRPr="00B31484">
        <w:rPr>
          <w:rFonts w:hAnsi="仿宋_GB2312" w:cs="仿宋_GB2312" w:hint="eastAsia"/>
          <w:color w:val="000000" w:themeColor="text1"/>
        </w:rPr>
        <w:t>件</w:t>
      </w:r>
      <w:r w:rsidR="00093372" w:rsidRPr="00F27B33">
        <w:rPr>
          <w:rFonts w:hAnsi="黑体" w:cs="仿宋_GB2312" w:hint="eastAsia"/>
          <w:color w:val="000000" w:themeColor="text1"/>
        </w:rPr>
        <w:t>（诉讼</w:t>
      </w:r>
      <w:r w:rsidR="0020409E">
        <w:rPr>
          <w:rFonts w:hint="eastAsia"/>
        </w:rPr>
        <w:t>5624</w:t>
      </w:r>
      <w:r w:rsidR="00093372" w:rsidRPr="00F27B33">
        <w:rPr>
          <w:rFonts w:hAnsi="黑体" w:cs="仿宋_GB2312" w:hint="eastAsia"/>
          <w:color w:val="000000" w:themeColor="text1"/>
        </w:rPr>
        <w:t>件、执行</w:t>
      </w:r>
      <w:r w:rsidR="0020409E">
        <w:rPr>
          <w:rFonts w:hint="eastAsia"/>
        </w:rPr>
        <w:t>3101</w:t>
      </w:r>
      <w:r w:rsidR="00093372" w:rsidRPr="00F27B33">
        <w:rPr>
          <w:rFonts w:hAnsi="黑体" w:cs="仿宋_GB2312" w:hint="eastAsia"/>
          <w:color w:val="000000" w:themeColor="text1"/>
        </w:rPr>
        <w:t>件），</w:t>
      </w:r>
      <w:r w:rsidR="00093372" w:rsidRPr="00B31484">
        <w:rPr>
          <w:rFonts w:hAnsi="仿宋_GB2312" w:cs="仿宋_GB2312" w:hint="eastAsia"/>
          <w:color w:val="000000" w:themeColor="text1"/>
        </w:rPr>
        <w:t>同比</w:t>
      </w:r>
      <w:r w:rsidR="002E6DFB">
        <w:rPr>
          <w:rFonts w:hAnsi="仿宋_GB2312" w:cs="仿宋_GB2312" w:hint="eastAsia"/>
          <w:color w:val="000000" w:themeColor="text1"/>
        </w:rPr>
        <w:t>下降</w:t>
      </w:r>
      <w:r w:rsidR="0020409E">
        <w:rPr>
          <w:rFonts w:hAnsi="仿宋_GB2312" w:cs="仿宋_GB2312" w:hint="eastAsia"/>
          <w:color w:val="000000" w:themeColor="text1"/>
        </w:rPr>
        <w:t>5.55</w:t>
      </w:r>
      <w:r w:rsidR="00093372" w:rsidRPr="00B31484">
        <w:rPr>
          <w:rFonts w:hAnsi="仿宋_GB2312" w:cs="仿宋_GB2312" w:hint="eastAsia"/>
          <w:color w:val="000000" w:themeColor="text1"/>
        </w:rPr>
        <w:t>%</w:t>
      </w:r>
      <w:r>
        <w:rPr>
          <w:rFonts w:hAnsi="仿宋_GB2312" w:cs="仿宋_GB2312" w:hint="eastAsia"/>
          <w:color w:val="000000" w:themeColor="text1"/>
        </w:rPr>
        <w:t>。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20409E">
        <w:rPr>
          <w:rFonts w:hAnsi="仿宋_GB2312" w:cs="仿宋_GB2312" w:hint="eastAsia"/>
          <w:color w:val="000000" w:themeColor="text1"/>
        </w:rPr>
        <w:t>12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审结</w:t>
      </w:r>
      <w:r w:rsidR="0020409E">
        <w:rPr>
          <w:rFonts w:hint="eastAsia"/>
        </w:rPr>
        <w:t>8475</w:t>
      </w:r>
      <w:r w:rsidR="00093372" w:rsidRPr="00B31484">
        <w:rPr>
          <w:rFonts w:hAnsi="仿宋_GB2312" w:cs="仿宋_GB2312" w:hint="eastAsia"/>
          <w:color w:val="000000" w:themeColor="text1"/>
        </w:rPr>
        <w:t>件</w:t>
      </w:r>
      <w:r w:rsidR="005B0E12" w:rsidRPr="00F27B33">
        <w:rPr>
          <w:rFonts w:hAnsi="黑体" w:cs="仿宋_GB2312" w:hint="eastAsia"/>
          <w:color w:val="000000" w:themeColor="text1"/>
        </w:rPr>
        <w:t>（诉讼</w:t>
      </w:r>
      <w:r w:rsidR="0020409E">
        <w:rPr>
          <w:rFonts w:hint="eastAsia"/>
        </w:rPr>
        <w:t>5279</w:t>
      </w:r>
      <w:r w:rsidR="005B0E12" w:rsidRPr="00F27B33">
        <w:rPr>
          <w:rFonts w:hAnsi="黑体" w:cs="仿宋_GB2312" w:hint="eastAsia"/>
          <w:color w:val="000000" w:themeColor="text1"/>
        </w:rPr>
        <w:t>件、执行</w:t>
      </w:r>
      <w:r w:rsidR="0020409E">
        <w:rPr>
          <w:rFonts w:hint="eastAsia"/>
        </w:rPr>
        <w:t>3196</w:t>
      </w:r>
      <w:r w:rsidR="005B0E12" w:rsidRPr="00F27B33">
        <w:rPr>
          <w:rFonts w:hAnsi="黑体" w:cs="仿宋_GB2312" w:hint="eastAsia"/>
          <w:color w:val="000000" w:themeColor="text1"/>
        </w:rPr>
        <w:t>件）</w:t>
      </w:r>
      <w:r w:rsidR="00093372" w:rsidRPr="00B31484">
        <w:rPr>
          <w:rFonts w:hAnsi="仿宋_GB2312" w:cs="仿宋_GB2312" w:hint="eastAsia"/>
          <w:color w:val="000000" w:themeColor="text1"/>
        </w:rPr>
        <w:t>，同比</w:t>
      </w:r>
      <w:r w:rsidR="002E6DFB">
        <w:rPr>
          <w:rFonts w:hAnsi="仿宋_GB2312" w:cs="仿宋_GB2312" w:hint="eastAsia"/>
          <w:color w:val="000000" w:themeColor="text1"/>
        </w:rPr>
        <w:t>下降</w:t>
      </w:r>
      <w:r w:rsidR="0020409E">
        <w:rPr>
          <w:rFonts w:hAnsi="仿宋_GB2312" w:cs="仿宋_GB2312" w:hint="eastAsia"/>
          <w:color w:val="000000" w:themeColor="text1"/>
        </w:rPr>
        <w:t>11.24</w:t>
      </w:r>
      <w:r w:rsidR="00093372" w:rsidRPr="00B31484">
        <w:rPr>
          <w:rFonts w:hAnsi="仿宋_GB2312" w:cs="仿宋_GB2312" w:hint="eastAsia"/>
          <w:color w:val="000000" w:themeColor="text1"/>
        </w:rPr>
        <w:t>%</w:t>
      </w:r>
      <w:r>
        <w:rPr>
          <w:rFonts w:hAnsi="仿宋_GB2312" w:cs="仿宋_GB2312" w:hint="eastAsia"/>
          <w:color w:val="000000" w:themeColor="text1"/>
        </w:rPr>
        <w:t>。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20409E">
        <w:rPr>
          <w:rFonts w:hAnsi="仿宋_GB2312" w:cs="仿宋_GB2312" w:hint="eastAsia"/>
          <w:color w:val="000000" w:themeColor="text1"/>
        </w:rPr>
        <w:t>12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未结</w:t>
      </w:r>
      <w:r w:rsidR="0020409E">
        <w:rPr>
          <w:rFonts w:hint="eastAsia"/>
        </w:rPr>
        <w:t>723</w:t>
      </w:r>
      <w:r w:rsidR="00093372" w:rsidRPr="00B31484">
        <w:rPr>
          <w:rFonts w:hAnsi="仿宋_GB2312" w:cs="仿宋_GB2312" w:hint="eastAsia"/>
          <w:color w:val="000000" w:themeColor="text1"/>
        </w:rPr>
        <w:t>件</w:t>
      </w:r>
      <w:r w:rsidR="003A3E47" w:rsidRPr="00F27B33">
        <w:rPr>
          <w:rFonts w:hAnsi="黑体" w:cs="仿宋_GB2312" w:hint="eastAsia"/>
          <w:color w:val="000000" w:themeColor="text1"/>
        </w:rPr>
        <w:t>（诉讼</w:t>
      </w:r>
      <w:r w:rsidR="0020409E">
        <w:rPr>
          <w:rFonts w:hint="eastAsia"/>
        </w:rPr>
        <w:t>656</w:t>
      </w:r>
      <w:r w:rsidR="003A3E47" w:rsidRPr="00F27B33">
        <w:rPr>
          <w:rFonts w:hAnsi="黑体" w:cs="仿宋_GB2312" w:hint="eastAsia"/>
          <w:color w:val="000000" w:themeColor="text1"/>
        </w:rPr>
        <w:t>件、执行</w:t>
      </w:r>
      <w:r w:rsidR="0020409E">
        <w:rPr>
          <w:rFonts w:hint="eastAsia"/>
        </w:rPr>
        <w:t>67</w:t>
      </w:r>
      <w:r w:rsidR="003A3E47" w:rsidRPr="00F27B33">
        <w:rPr>
          <w:rFonts w:hAnsi="黑体" w:cs="仿宋_GB2312" w:hint="eastAsia"/>
          <w:color w:val="000000" w:themeColor="text1"/>
        </w:rPr>
        <w:t>件）</w:t>
      </w:r>
      <w:r w:rsidR="00093372" w:rsidRPr="00B31484">
        <w:rPr>
          <w:rFonts w:hAnsi="仿宋_GB2312" w:cs="仿宋_GB2312" w:hint="eastAsia"/>
          <w:color w:val="000000" w:themeColor="text1"/>
        </w:rPr>
        <w:t>，同比</w:t>
      </w:r>
      <w:r w:rsidR="0020409E">
        <w:rPr>
          <w:rFonts w:hAnsi="仿宋_GB2312" w:cs="仿宋_GB2312" w:hint="eastAsia"/>
          <w:color w:val="000000" w:themeColor="text1"/>
        </w:rPr>
        <w:t>上升2.84</w:t>
      </w:r>
      <w:r w:rsidR="00093372" w:rsidRPr="00B31484">
        <w:rPr>
          <w:rFonts w:hAnsi="仿宋_GB2312" w:cs="仿宋_GB2312" w:hint="eastAsia"/>
          <w:color w:val="000000" w:themeColor="text1"/>
        </w:rPr>
        <w:t>%</w:t>
      </w:r>
      <w:r>
        <w:rPr>
          <w:rFonts w:hAnsi="仿宋_GB2312" w:cs="仿宋_GB2312" w:hint="eastAsia"/>
          <w:color w:val="000000" w:themeColor="text1"/>
        </w:rPr>
        <w:t>。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20409E">
        <w:rPr>
          <w:rFonts w:hAnsi="仿宋_GB2312" w:cs="仿宋_GB2312" w:hint="eastAsia"/>
          <w:color w:val="000000" w:themeColor="text1"/>
        </w:rPr>
        <w:t>12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结案率为</w:t>
      </w:r>
      <w:r w:rsidR="0020409E">
        <w:rPr>
          <w:rFonts w:hint="eastAsia"/>
        </w:rPr>
        <w:t>92.14</w:t>
      </w:r>
      <w:r w:rsidR="00093372" w:rsidRPr="00B31484">
        <w:rPr>
          <w:rFonts w:hAnsi="仿宋_GB2312" w:cs="仿宋_GB2312" w:hint="eastAsia"/>
          <w:color w:val="000000" w:themeColor="text1"/>
        </w:rPr>
        <w:t>%，同比</w:t>
      </w:r>
      <w:r w:rsidR="0020409E">
        <w:rPr>
          <w:rFonts w:hAnsi="仿宋_GB2312" w:cs="仿宋_GB2312" w:hint="eastAsia"/>
          <w:color w:val="000000" w:themeColor="text1"/>
        </w:rPr>
        <w:t>下降1</w:t>
      </w:r>
      <w:r w:rsidR="00093372">
        <w:rPr>
          <w:rFonts w:hAnsi="仿宋_GB2312" w:cs="仿宋_GB2312" w:hint="eastAsia"/>
          <w:color w:val="000000" w:themeColor="text1"/>
        </w:rPr>
        <w:t>个百分点</w:t>
      </w:r>
      <w:r w:rsidR="00B62DB1">
        <w:rPr>
          <w:rFonts w:hAnsi="仿宋_GB2312" w:cs="仿宋_GB2312" w:hint="eastAsia"/>
          <w:color w:val="000000" w:themeColor="text1"/>
        </w:rPr>
        <w:t>。</w:t>
      </w:r>
      <w:r w:rsidR="00093372">
        <w:rPr>
          <w:rFonts w:hint="eastAsia"/>
        </w:rPr>
        <w:t>诉讼案件结案率为</w:t>
      </w:r>
      <w:r w:rsidR="0020409E">
        <w:rPr>
          <w:rFonts w:hint="eastAsia"/>
        </w:rPr>
        <w:t>88.95</w:t>
      </w:r>
      <w:r w:rsidR="00093372">
        <w:rPr>
          <w:rFonts w:hint="eastAsia"/>
        </w:rPr>
        <w:t>%，同比</w:t>
      </w:r>
      <w:r w:rsidR="0020409E">
        <w:rPr>
          <w:rFonts w:hint="eastAsia"/>
        </w:rPr>
        <w:t>下降4.21</w:t>
      </w:r>
      <w:r w:rsidR="00093372">
        <w:rPr>
          <w:rFonts w:hint="eastAsia"/>
        </w:rPr>
        <w:t>个百分点，执行案件执结率为</w:t>
      </w:r>
      <w:r w:rsidR="0020409E">
        <w:rPr>
          <w:rFonts w:hint="eastAsia"/>
        </w:rPr>
        <w:t>97.95</w:t>
      </w:r>
      <w:r w:rsidR="00093372">
        <w:rPr>
          <w:rFonts w:hint="eastAsia"/>
        </w:rPr>
        <w:t>%，同比</w:t>
      </w:r>
      <w:r w:rsidR="00736D44">
        <w:rPr>
          <w:rFonts w:hint="eastAsia"/>
        </w:rPr>
        <w:t>上升</w:t>
      </w:r>
      <w:r w:rsidR="0020409E">
        <w:rPr>
          <w:rFonts w:hint="eastAsia"/>
        </w:rPr>
        <w:t>4.84</w:t>
      </w:r>
      <w:r w:rsidR="00093372">
        <w:rPr>
          <w:rFonts w:hint="eastAsia"/>
        </w:rPr>
        <w:t>个百分点</w:t>
      </w:r>
      <w:r>
        <w:rPr>
          <w:rFonts w:hAnsi="仿宋_GB2312" w:cs="仿宋_GB2312" w:hint="eastAsia"/>
          <w:color w:val="000000" w:themeColor="text1"/>
        </w:rPr>
        <w:t>。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20409E">
        <w:rPr>
          <w:rFonts w:hAnsi="仿宋_GB2312" w:cs="仿宋_GB2312" w:hint="eastAsia"/>
          <w:color w:val="000000" w:themeColor="text1"/>
        </w:rPr>
        <w:t>12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>
        <w:rPr>
          <w:rFonts w:hAnsi="仿宋_GB2312" w:cs="仿宋_GB2312" w:hint="eastAsia"/>
          <w:color w:val="000000" w:themeColor="text1"/>
        </w:rPr>
        <w:t>结收比</w:t>
      </w:r>
      <w:r w:rsidR="0020409E">
        <w:rPr>
          <w:rFonts w:hAnsi="仿宋_GB2312" w:cs="仿宋_GB2312" w:hint="eastAsia"/>
          <w:color w:val="000000" w:themeColor="text1"/>
        </w:rPr>
        <w:t>97.13</w:t>
      </w:r>
      <w:r>
        <w:rPr>
          <w:rFonts w:hAnsi="仿宋_GB2312" w:cs="仿宋_GB2312" w:hint="eastAsia"/>
          <w:color w:val="000000" w:themeColor="text1"/>
        </w:rPr>
        <w:t>%</w:t>
      </w:r>
      <w:r w:rsidR="005D56A8">
        <w:rPr>
          <w:rFonts w:hAnsi="仿宋_GB2312" w:cs="仿宋_GB2312" w:hint="eastAsia"/>
          <w:color w:val="000000" w:themeColor="text1"/>
        </w:rPr>
        <w:t>（诉讼结收比</w:t>
      </w:r>
      <w:r w:rsidR="0020409E">
        <w:rPr>
          <w:rFonts w:hAnsi="仿宋_GB2312" w:cs="仿宋_GB2312" w:hint="eastAsia"/>
          <w:color w:val="000000" w:themeColor="text1"/>
        </w:rPr>
        <w:t>93.87</w:t>
      </w:r>
      <w:r w:rsidR="005D56A8">
        <w:rPr>
          <w:rFonts w:hAnsi="仿宋_GB2312" w:cs="仿宋_GB2312" w:hint="eastAsia"/>
          <w:color w:val="000000" w:themeColor="text1"/>
        </w:rPr>
        <w:t>%，执行结收比</w:t>
      </w:r>
      <w:r w:rsidR="0020409E">
        <w:rPr>
          <w:rFonts w:hAnsi="仿宋_GB2312" w:cs="仿宋_GB2312" w:hint="eastAsia"/>
          <w:color w:val="000000" w:themeColor="text1"/>
        </w:rPr>
        <w:t>103.06</w:t>
      </w:r>
      <w:r w:rsidR="005D56A8">
        <w:rPr>
          <w:rFonts w:hAnsi="仿宋_GB2312" w:cs="仿宋_GB2312" w:hint="eastAsia"/>
          <w:color w:val="000000" w:themeColor="text1"/>
        </w:rPr>
        <w:t>%）</w:t>
      </w:r>
      <w:r>
        <w:rPr>
          <w:rFonts w:hAnsi="仿宋_GB2312" w:cs="仿宋_GB2312" w:hint="eastAsia"/>
          <w:color w:val="000000" w:themeColor="text1"/>
        </w:rPr>
        <w:t>，</w:t>
      </w:r>
      <w:r w:rsidRPr="00B31484">
        <w:rPr>
          <w:rFonts w:hAnsi="仿宋_GB2312" w:cs="仿宋_GB2312" w:hint="eastAsia"/>
          <w:color w:val="000000" w:themeColor="text1"/>
        </w:rPr>
        <w:t>同比</w:t>
      </w:r>
      <w:r w:rsidR="0020409E">
        <w:rPr>
          <w:rFonts w:hAnsi="仿宋_GB2312" w:cs="仿宋_GB2312" w:hint="eastAsia"/>
          <w:color w:val="000000" w:themeColor="text1"/>
        </w:rPr>
        <w:t>下降6.23</w:t>
      </w:r>
      <w:r>
        <w:rPr>
          <w:rFonts w:hAnsi="仿宋_GB2312" w:cs="仿宋_GB2312" w:hint="eastAsia"/>
          <w:color w:val="000000" w:themeColor="text1"/>
        </w:rPr>
        <w:t>个百分点</w:t>
      </w:r>
      <w:r w:rsidR="0020409E">
        <w:rPr>
          <w:rFonts w:hAnsi="仿宋_GB2312" w:cs="仿宋_GB2312" w:hint="eastAsia"/>
          <w:color w:val="000000" w:themeColor="text1"/>
        </w:rPr>
        <w:t>。</w:t>
      </w:r>
    </w:p>
    <w:p w:rsidR="00D05DA6" w:rsidRDefault="00D05DA6" w:rsidP="00D05DA6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  <w:r>
        <w:rPr>
          <w:rFonts w:hAnsi="仿宋_GB2312" w:cs="仿宋_GB2312" w:hint="eastAsia"/>
          <w:color w:val="000000" w:themeColor="text1"/>
        </w:rPr>
        <w:t>1-</w:t>
      </w:r>
      <w:r w:rsidR="0020409E">
        <w:rPr>
          <w:rFonts w:hAnsi="仿宋_GB2312" w:cs="仿宋_GB2312" w:hint="eastAsia"/>
          <w:color w:val="000000" w:themeColor="text1"/>
        </w:rPr>
        <w:t>12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平均审理天数为</w:t>
      </w:r>
      <w:r w:rsidR="000558B0">
        <w:rPr>
          <w:rFonts w:hint="eastAsia"/>
        </w:rPr>
        <w:t>3</w:t>
      </w:r>
      <w:r w:rsidR="00250891">
        <w:rPr>
          <w:rFonts w:hint="eastAsia"/>
        </w:rPr>
        <w:t>2.8</w:t>
      </w:r>
      <w:r w:rsidR="00093372" w:rsidRPr="00B31484">
        <w:rPr>
          <w:rFonts w:hAnsi="仿宋_GB2312" w:cs="仿宋_GB2312" w:hint="eastAsia"/>
          <w:color w:val="000000" w:themeColor="text1"/>
        </w:rPr>
        <w:t>天，同比</w:t>
      </w:r>
      <w:r>
        <w:rPr>
          <w:rFonts w:hAnsi="仿宋_GB2312" w:cs="仿宋_GB2312" w:hint="eastAsia"/>
          <w:color w:val="000000" w:themeColor="text1"/>
        </w:rPr>
        <w:t>减少</w:t>
      </w:r>
      <w:r w:rsidR="00250891">
        <w:rPr>
          <w:rFonts w:hAnsi="仿宋_GB2312" w:cs="仿宋_GB2312" w:hint="eastAsia"/>
          <w:color w:val="000000" w:themeColor="text1"/>
        </w:rPr>
        <w:lastRenderedPageBreak/>
        <w:t>6.6</w:t>
      </w:r>
      <w:r w:rsidR="00093372" w:rsidRPr="00B31484">
        <w:rPr>
          <w:rFonts w:hAnsi="仿宋_GB2312" w:cs="仿宋_GB2312" w:hint="eastAsia"/>
          <w:color w:val="000000" w:themeColor="text1"/>
        </w:rPr>
        <w:t>天</w:t>
      </w:r>
      <w:r>
        <w:rPr>
          <w:rFonts w:hAnsi="仿宋_GB2312" w:cs="仿宋_GB2312" w:hint="eastAsia"/>
          <w:color w:val="000000" w:themeColor="text1"/>
        </w:rPr>
        <w:t>。</w:t>
      </w:r>
    </w:p>
    <w:p w:rsidR="00093372" w:rsidRPr="009B04B1" w:rsidRDefault="00D05DA6" w:rsidP="00D05DA6">
      <w:pPr>
        <w:spacing w:line="360" w:lineRule="auto"/>
        <w:ind w:firstLineChars="200" w:firstLine="640"/>
      </w:pPr>
      <w:r>
        <w:rPr>
          <w:rFonts w:hAnsi="仿宋_GB2312" w:cs="仿宋_GB2312" w:hint="eastAsia"/>
          <w:color w:val="000000" w:themeColor="text1"/>
        </w:rPr>
        <w:t>1</w:t>
      </w:r>
      <w:r w:rsidR="000558B0">
        <w:rPr>
          <w:rFonts w:hAnsi="仿宋_GB2312" w:cs="仿宋_GB2312" w:hint="eastAsia"/>
          <w:color w:val="000000" w:themeColor="text1"/>
        </w:rPr>
        <w:t>-</w:t>
      </w:r>
      <w:r w:rsidR="00250891">
        <w:rPr>
          <w:rFonts w:hAnsi="仿宋_GB2312" w:cs="仿宋_GB2312" w:hint="eastAsia"/>
          <w:color w:val="000000" w:themeColor="text1"/>
        </w:rPr>
        <w:t>12</w:t>
      </w:r>
      <w:r>
        <w:rPr>
          <w:rFonts w:hAnsi="仿宋_GB2312" w:cs="仿宋_GB2312" w:hint="eastAsia"/>
          <w:color w:val="000000" w:themeColor="text1"/>
        </w:rPr>
        <w:t>月，洮北</w:t>
      </w:r>
      <w:r w:rsidRPr="00B31484">
        <w:rPr>
          <w:rFonts w:hAnsi="仿宋_GB2312" w:cs="仿宋_GB2312" w:hint="eastAsia"/>
          <w:color w:val="000000" w:themeColor="text1"/>
        </w:rPr>
        <w:t>法院</w:t>
      </w:r>
      <w:r w:rsidR="00093372" w:rsidRPr="00B31484">
        <w:rPr>
          <w:rFonts w:hAnsi="仿宋_GB2312" w:cs="仿宋_GB2312" w:hint="eastAsia"/>
          <w:color w:val="000000" w:themeColor="text1"/>
        </w:rPr>
        <w:t>人均受案</w:t>
      </w:r>
      <w:r w:rsidR="00250891">
        <w:rPr>
          <w:rFonts w:hint="eastAsia"/>
        </w:rPr>
        <w:t>213.91</w:t>
      </w:r>
      <w:r w:rsidR="00093372" w:rsidRPr="00B31484">
        <w:rPr>
          <w:rFonts w:hAnsi="仿宋_GB2312" w:cs="仿宋_GB2312" w:hint="eastAsia"/>
          <w:color w:val="000000" w:themeColor="text1"/>
        </w:rPr>
        <w:t>件，同比</w:t>
      </w:r>
      <w:r w:rsidR="009D5574">
        <w:rPr>
          <w:rFonts w:hAnsi="仿宋_GB2312" w:cs="仿宋_GB2312" w:hint="eastAsia"/>
          <w:color w:val="000000" w:themeColor="text1"/>
        </w:rPr>
        <w:t>下降</w:t>
      </w:r>
      <w:r w:rsidR="00250891">
        <w:rPr>
          <w:rFonts w:hAnsi="仿宋_GB2312" w:cs="仿宋_GB2312" w:hint="eastAsia"/>
          <w:color w:val="000000" w:themeColor="text1"/>
        </w:rPr>
        <w:t>42.37</w:t>
      </w:r>
      <w:r w:rsidR="00093372" w:rsidRPr="00B31484">
        <w:rPr>
          <w:rFonts w:hAnsi="仿宋_GB2312" w:cs="仿宋_GB2312" w:hint="eastAsia"/>
          <w:color w:val="000000" w:themeColor="text1"/>
        </w:rPr>
        <w:t>件，人均结案</w:t>
      </w:r>
      <w:r w:rsidR="00250891">
        <w:rPr>
          <w:rFonts w:hint="eastAsia"/>
        </w:rPr>
        <w:t>197.09</w:t>
      </w:r>
      <w:r w:rsidR="00093372" w:rsidRPr="00B31484">
        <w:rPr>
          <w:rFonts w:hAnsi="仿宋_GB2312" w:cs="仿宋_GB2312" w:hint="eastAsia"/>
          <w:color w:val="000000" w:themeColor="text1"/>
        </w:rPr>
        <w:t>件，同比</w:t>
      </w:r>
      <w:r w:rsidR="009D5574">
        <w:rPr>
          <w:rFonts w:hAnsi="仿宋_GB2312" w:cs="仿宋_GB2312" w:hint="eastAsia"/>
          <w:color w:val="000000" w:themeColor="text1"/>
        </w:rPr>
        <w:t>下降</w:t>
      </w:r>
      <w:r w:rsidR="00250891">
        <w:rPr>
          <w:rFonts w:hAnsi="仿宋_GB2312" w:cs="仿宋_GB2312" w:hint="eastAsia"/>
          <w:color w:val="000000" w:themeColor="text1"/>
        </w:rPr>
        <w:t>14.79</w:t>
      </w:r>
      <w:r w:rsidR="00093372">
        <w:rPr>
          <w:rFonts w:hAnsi="仿宋_GB2312" w:cs="仿宋_GB2312" w:hint="eastAsia"/>
          <w:color w:val="000000" w:themeColor="text1"/>
        </w:rPr>
        <w:t>件。</w:t>
      </w:r>
    </w:p>
    <w:p w:rsidR="00BA4290" w:rsidRPr="008A501C" w:rsidRDefault="00DE19D0" w:rsidP="008A501C">
      <w:pPr>
        <w:spacing w:line="360" w:lineRule="auto"/>
        <w:ind w:firstLineChars="196" w:firstLine="630"/>
        <w:jc w:val="left"/>
        <w:rPr>
          <w:rFonts w:hAnsi="仿宋_GB2312" w:cs="仿宋_GB2312"/>
          <w:b/>
          <w:color w:val="000000" w:themeColor="text1"/>
        </w:rPr>
      </w:pPr>
      <w:r>
        <w:rPr>
          <w:rFonts w:hAnsi="仿宋" w:hint="eastAsia"/>
          <w:b/>
        </w:rPr>
        <w:t>2</w:t>
      </w:r>
      <w:r w:rsidR="00BA4290" w:rsidRPr="00B31484">
        <w:rPr>
          <w:rFonts w:hAnsi="仿宋" w:hint="eastAsia"/>
          <w:b/>
        </w:rPr>
        <w:t>.</w:t>
      </w:r>
      <w:r w:rsidR="00BA4290" w:rsidRPr="00B31484">
        <w:rPr>
          <w:rFonts w:hAnsi="仿宋_GB2312" w:cs="仿宋_GB2312" w:hint="eastAsia"/>
          <w:b/>
          <w:color w:val="000000" w:themeColor="text1"/>
        </w:rPr>
        <w:t>各类型</w:t>
      </w:r>
      <w:r w:rsidR="00CF54CE" w:rsidRPr="00B31484">
        <w:rPr>
          <w:rFonts w:hAnsi="仿宋_GB2312" w:cs="仿宋_GB2312" w:hint="eastAsia"/>
          <w:b/>
          <w:color w:val="000000" w:themeColor="text1"/>
        </w:rPr>
        <w:t>、</w:t>
      </w:r>
      <w:r w:rsidR="00BA4290" w:rsidRPr="00B31484">
        <w:rPr>
          <w:rFonts w:hAnsi="仿宋_GB2312" w:cs="仿宋_GB2312" w:hint="eastAsia"/>
          <w:b/>
          <w:color w:val="000000" w:themeColor="text1"/>
        </w:rPr>
        <w:t>各审级</w:t>
      </w:r>
      <w:r w:rsidR="00036414" w:rsidRPr="00B31484">
        <w:rPr>
          <w:rFonts w:hAnsi="仿宋_GB2312" w:cs="仿宋_GB2312" w:hint="eastAsia"/>
          <w:b/>
          <w:color w:val="000000" w:themeColor="text1"/>
        </w:rPr>
        <w:t>新收案件</w:t>
      </w:r>
      <w:r w:rsidR="00BA4290" w:rsidRPr="00B31484">
        <w:rPr>
          <w:rFonts w:hAnsi="仿宋_GB2312" w:cs="仿宋_GB2312" w:hint="eastAsia"/>
          <w:b/>
          <w:color w:val="000000" w:themeColor="text1"/>
        </w:rPr>
        <w:t>情况</w:t>
      </w:r>
      <w:r w:rsidR="00E02025" w:rsidRPr="00B31484">
        <w:rPr>
          <w:rFonts w:hAnsi="仿宋_GB2312" w:cs="仿宋_GB2312" w:hint="eastAsia"/>
          <w:b/>
          <w:color w:val="000000" w:themeColor="text1"/>
        </w:rPr>
        <w:t>。</w:t>
      </w:r>
      <w:r w:rsidR="00E822D8">
        <w:rPr>
          <w:rFonts w:hAnsi="黑体" w:hint="eastAsia"/>
          <w:color w:val="000000" w:themeColor="text1"/>
        </w:rPr>
        <w:t>1</w:t>
      </w:r>
      <w:r w:rsidR="000558B0">
        <w:rPr>
          <w:rFonts w:hAnsi="黑体" w:hint="eastAsia"/>
          <w:color w:val="000000" w:themeColor="text1"/>
        </w:rPr>
        <w:t>-</w:t>
      </w:r>
      <w:r w:rsidR="003E4BAD">
        <w:rPr>
          <w:rFonts w:hAnsi="黑体" w:hint="eastAsia"/>
          <w:color w:val="000000" w:themeColor="text1"/>
        </w:rPr>
        <w:t>12</w:t>
      </w:r>
      <w:r w:rsidR="00E822D8">
        <w:rPr>
          <w:rFonts w:hAnsi="黑体" w:hint="eastAsia"/>
          <w:color w:val="000000" w:themeColor="text1"/>
        </w:rPr>
        <w:t>月</w:t>
      </w:r>
      <w:r w:rsidR="00036414" w:rsidRPr="00B31484">
        <w:rPr>
          <w:rFonts w:hAnsi="黑体" w:hint="eastAsia"/>
          <w:color w:val="000000" w:themeColor="text1"/>
        </w:rPr>
        <w:t>，</w:t>
      </w:r>
      <w:r w:rsidR="00093372">
        <w:rPr>
          <w:rFonts w:hAnsi="黑体" w:hint="eastAsia"/>
          <w:color w:val="000000" w:themeColor="text1"/>
        </w:rPr>
        <w:t>洮北</w:t>
      </w:r>
      <w:r w:rsidR="00036414" w:rsidRPr="00B31484">
        <w:rPr>
          <w:rFonts w:hAnsi="黑体" w:hint="eastAsia"/>
          <w:color w:val="000000" w:themeColor="text1"/>
        </w:rPr>
        <w:t>法院</w:t>
      </w:r>
      <w:r w:rsidR="005F3FBE" w:rsidRPr="00B31484">
        <w:rPr>
          <w:rFonts w:hAnsi="黑体" w:hint="eastAsia"/>
          <w:color w:val="000000" w:themeColor="text1"/>
        </w:rPr>
        <w:t>刑事、民事类新收案件</w:t>
      </w:r>
      <w:r w:rsidR="00A87711">
        <w:rPr>
          <w:rFonts w:hAnsi="黑体" w:hint="eastAsia"/>
          <w:color w:val="000000" w:themeColor="text1"/>
        </w:rPr>
        <w:t>整体</w:t>
      </w:r>
      <w:r w:rsidR="005F3FBE" w:rsidRPr="00B31484">
        <w:rPr>
          <w:rFonts w:hAnsi="黑体" w:hint="eastAsia"/>
          <w:color w:val="000000" w:themeColor="text1"/>
        </w:rPr>
        <w:t>呈</w:t>
      </w:r>
      <w:r w:rsidR="009264D4">
        <w:rPr>
          <w:rFonts w:hAnsi="黑体" w:hint="eastAsia"/>
          <w:color w:val="000000" w:themeColor="text1"/>
        </w:rPr>
        <w:t>下降</w:t>
      </w:r>
      <w:r w:rsidR="005F3FBE" w:rsidRPr="00B31484">
        <w:rPr>
          <w:rFonts w:hAnsi="黑体" w:hint="eastAsia"/>
          <w:color w:val="000000" w:themeColor="text1"/>
        </w:rPr>
        <w:t>趋势</w:t>
      </w:r>
      <w:r w:rsidR="005F3FBE">
        <w:rPr>
          <w:rFonts w:hAnsi="黑体" w:hint="eastAsia"/>
          <w:color w:val="000000" w:themeColor="text1"/>
        </w:rPr>
        <w:t>，刑事</w:t>
      </w:r>
      <w:r w:rsidR="00272BB7">
        <w:rPr>
          <w:rFonts w:hAnsi="黑体" w:hint="eastAsia"/>
          <w:color w:val="000000" w:themeColor="text1"/>
        </w:rPr>
        <w:t>下降86</w:t>
      </w:r>
      <w:r w:rsidR="00F87B17">
        <w:rPr>
          <w:rFonts w:hAnsi="黑体" w:hint="eastAsia"/>
          <w:color w:val="000000" w:themeColor="text1"/>
        </w:rPr>
        <w:t>件</w:t>
      </w:r>
      <w:r w:rsidR="005F3FBE">
        <w:rPr>
          <w:rFonts w:hAnsi="黑体" w:hint="eastAsia"/>
          <w:color w:val="000000" w:themeColor="text1"/>
        </w:rPr>
        <w:t>，民事</w:t>
      </w:r>
      <w:r w:rsidR="00654FC0">
        <w:rPr>
          <w:rFonts w:hAnsi="黑体" w:hint="eastAsia"/>
          <w:color w:val="000000" w:themeColor="text1"/>
        </w:rPr>
        <w:t>减少</w:t>
      </w:r>
      <w:r w:rsidR="00272BB7">
        <w:rPr>
          <w:rFonts w:hAnsi="黑体" w:hint="eastAsia"/>
          <w:color w:val="000000" w:themeColor="text1"/>
        </w:rPr>
        <w:t>283</w:t>
      </w:r>
      <w:r w:rsidR="00F87B17">
        <w:rPr>
          <w:rFonts w:hAnsi="黑体" w:hint="eastAsia"/>
          <w:color w:val="000000" w:themeColor="text1"/>
        </w:rPr>
        <w:t>件</w:t>
      </w:r>
      <w:r w:rsidR="00B62DB1">
        <w:rPr>
          <w:rFonts w:hAnsi="黑体" w:hint="eastAsia"/>
          <w:color w:val="000000" w:themeColor="text1"/>
        </w:rPr>
        <w:t>。</w:t>
      </w:r>
      <w:r w:rsidR="00654FC0">
        <w:rPr>
          <w:rFonts w:hAnsi="黑体" w:hint="eastAsia"/>
          <w:color w:val="000000" w:themeColor="text1"/>
        </w:rPr>
        <w:t>受疫情影响，</w:t>
      </w:r>
      <w:r w:rsidR="00FF18AD" w:rsidRPr="00B31484">
        <w:rPr>
          <w:rFonts w:hAnsi="黑体" w:hint="eastAsia"/>
          <w:color w:val="000000" w:themeColor="text1"/>
        </w:rPr>
        <w:t>从审级看</w:t>
      </w:r>
      <w:r w:rsidR="001410B7">
        <w:rPr>
          <w:rFonts w:hAnsi="黑体" w:hint="eastAsia"/>
          <w:color w:val="000000" w:themeColor="text1"/>
        </w:rPr>
        <w:t>，</w:t>
      </w:r>
      <w:r w:rsidR="00BA4290" w:rsidRPr="00B31484">
        <w:rPr>
          <w:rFonts w:hAnsi="黑体" w:hint="eastAsia"/>
        </w:rPr>
        <w:t>一审</w:t>
      </w:r>
      <w:r w:rsidR="00FF18AD" w:rsidRPr="00B31484">
        <w:rPr>
          <w:rFonts w:hAnsi="黑体" w:hint="eastAsia"/>
        </w:rPr>
        <w:t>、再审</w:t>
      </w:r>
      <w:r w:rsidR="00BA4290" w:rsidRPr="00B31484">
        <w:rPr>
          <w:rFonts w:hAnsi="黑体" w:hint="eastAsia"/>
        </w:rPr>
        <w:t>新收</w:t>
      </w:r>
      <w:r w:rsidR="00F94FA0" w:rsidRPr="00B31484">
        <w:rPr>
          <w:rFonts w:hAnsi="黑体" w:hint="eastAsia"/>
        </w:rPr>
        <w:t>案件均</w:t>
      </w:r>
      <w:r w:rsidR="00036414" w:rsidRPr="00B31484">
        <w:rPr>
          <w:rFonts w:hAnsi="黑体" w:hint="eastAsia"/>
        </w:rPr>
        <w:t>呈</w:t>
      </w:r>
      <w:r w:rsidR="00654FC0">
        <w:rPr>
          <w:rFonts w:hAnsi="黑体" w:hint="eastAsia"/>
        </w:rPr>
        <w:t>下降</w:t>
      </w:r>
      <w:r w:rsidR="00FF18AD" w:rsidRPr="00B31484">
        <w:rPr>
          <w:rFonts w:hAnsi="黑体" w:hint="eastAsia"/>
        </w:rPr>
        <w:t>趋势，</w:t>
      </w:r>
      <w:r w:rsidR="00BA4290" w:rsidRPr="00B31484">
        <w:rPr>
          <w:rFonts w:hAnsi="黑体" w:hint="eastAsia"/>
        </w:rPr>
        <w:t>申诉、申请再审</w:t>
      </w:r>
      <w:r w:rsidR="00FF18AD" w:rsidRPr="00B31484">
        <w:rPr>
          <w:rFonts w:hAnsi="黑体" w:hint="eastAsia"/>
        </w:rPr>
        <w:t>案件呈</w:t>
      </w:r>
      <w:r w:rsidR="00654FC0">
        <w:rPr>
          <w:rFonts w:hAnsi="黑体" w:hint="eastAsia"/>
        </w:rPr>
        <w:t>下降</w:t>
      </w:r>
      <w:r w:rsidR="00FF18AD" w:rsidRPr="00B31484">
        <w:rPr>
          <w:rFonts w:hAnsi="黑体" w:hint="eastAsia"/>
        </w:rPr>
        <w:t>趋势。</w:t>
      </w:r>
      <w:r w:rsidR="00D20C83">
        <w:rPr>
          <w:rFonts w:hAnsi="黑体" w:hint="eastAsia"/>
        </w:rPr>
        <w:t>今后</w:t>
      </w:r>
      <w:r w:rsidR="000501AB">
        <w:rPr>
          <w:rFonts w:hAnsi="黑体" w:hint="eastAsia"/>
        </w:rPr>
        <w:t>要持续</w:t>
      </w:r>
      <w:r w:rsidR="00E828FE">
        <w:rPr>
          <w:rFonts w:hAnsi="黑体" w:hint="eastAsia"/>
        </w:rPr>
        <w:t>对</w:t>
      </w:r>
      <w:r w:rsidR="000501AB">
        <w:rPr>
          <w:rFonts w:hAnsi="黑体" w:hint="eastAsia"/>
        </w:rPr>
        <w:t>各类案件</w:t>
      </w:r>
      <w:r w:rsidR="00563C78">
        <w:rPr>
          <w:rFonts w:hAnsi="黑体" w:hint="eastAsia"/>
        </w:rPr>
        <w:t>下降</w:t>
      </w:r>
      <w:r w:rsidR="000501AB">
        <w:rPr>
          <w:rFonts w:hAnsi="黑体" w:hint="eastAsia"/>
        </w:rPr>
        <w:t>情况、趋势、原因进行研究分析</w:t>
      </w:r>
      <w:r w:rsidR="009264D4">
        <w:rPr>
          <w:rFonts w:hAnsi="黑体" w:hint="eastAsia"/>
        </w:rPr>
        <w:t>。</w:t>
      </w:r>
      <w:r w:rsidR="009264D4" w:rsidRPr="008A501C">
        <w:rPr>
          <w:rFonts w:hAnsi="仿宋_GB2312" w:cs="仿宋_GB2312"/>
          <w:b/>
          <w:color w:val="000000" w:themeColor="text1"/>
        </w:rPr>
        <w:t xml:space="preserve"> </w:t>
      </w:r>
    </w:p>
    <w:p w:rsidR="002B3221" w:rsidRPr="008361BB" w:rsidRDefault="002A2CE5" w:rsidP="00734840">
      <w:pPr>
        <w:spacing w:line="360" w:lineRule="auto"/>
        <w:ind w:firstLineChars="200" w:firstLine="643"/>
        <w:jc w:val="left"/>
        <w:rPr>
          <w:rFonts w:ascii="楷体_GB2312" w:eastAsia="楷体_GB2312" w:hAnsi="楷体"/>
          <w:b/>
        </w:rPr>
      </w:pPr>
      <w:r w:rsidRPr="008361BB">
        <w:rPr>
          <w:rFonts w:ascii="楷体_GB2312" w:eastAsia="楷体_GB2312" w:hAnsi="楷体" w:hint="eastAsia"/>
          <w:b/>
        </w:rPr>
        <w:t>（</w:t>
      </w:r>
      <w:r w:rsidR="00914149" w:rsidRPr="008361BB">
        <w:rPr>
          <w:rFonts w:ascii="楷体_GB2312" w:eastAsia="楷体_GB2312" w:hAnsi="楷体" w:hint="eastAsia"/>
          <w:b/>
        </w:rPr>
        <w:t>二</w:t>
      </w:r>
      <w:r w:rsidRPr="008361BB">
        <w:rPr>
          <w:rFonts w:ascii="楷体_GB2312" w:eastAsia="楷体_GB2312" w:hAnsi="楷体" w:hint="eastAsia"/>
          <w:b/>
        </w:rPr>
        <w:t>）</w:t>
      </w:r>
      <w:r w:rsidR="008D24EC" w:rsidRPr="008361BB">
        <w:rPr>
          <w:rFonts w:ascii="楷体_GB2312" w:eastAsia="楷体_GB2312" w:hAnsi="楷体" w:hint="eastAsia"/>
          <w:b/>
        </w:rPr>
        <w:t>审判质量</w:t>
      </w:r>
      <w:r w:rsidR="000C67C4" w:rsidRPr="008361BB">
        <w:rPr>
          <w:rFonts w:ascii="楷体_GB2312" w:eastAsia="楷体_GB2312" w:hAnsi="楷体" w:hint="eastAsia"/>
          <w:b/>
        </w:rPr>
        <w:t>效果</w:t>
      </w:r>
      <w:r w:rsidR="002B3221" w:rsidRPr="008361BB">
        <w:rPr>
          <w:rFonts w:ascii="楷体_GB2312" w:eastAsia="楷体_GB2312" w:hAnsi="楷体" w:hint="eastAsia"/>
          <w:b/>
        </w:rPr>
        <w:t>情况</w:t>
      </w:r>
    </w:p>
    <w:p w:rsidR="003F1266" w:rsidRPr="00B31484" w:rsidRDefault="002B3221" w:rsidP="00B31484">
      <w:pPr>
        <w:spacing w:line="360" w:lineRule="auto"/>
        <w:ind w:firstLineChars="196" w:firstLine="630"/>
        <w:jc w:val="left"/>
        <w:rPr>
          <w:rFonts w:hAnsi="仿宋"/>
        </w:rPr>
      </w:pPr>
      <w:r w:rsidRPr="00B31484">
        <w:rPr>
          <w:rFonts w:hAnsi="仿宋" w:hint="eastAsia"/>
          <w:b/>
        </w:rPr>
        <w:t>1.一审案件服判息诉</w:t>
      </w:r>
      <w:r w:rsidR="001410B7">
        <w:rPr>
          <w:rFonts w:hAnsi="仿宋" w:hint="eastAsia"/>
          <w:b/>
        </w:rPr>
        <w:t>情况</w:t>
      </w:r>
      <w:r w:rsidRPr="00B31484">
        <w:rPr>
          <w:rFonts w:hAnsi="仿宋" w:hint="eastAsia"/>
          <w:b/>
        </w:rPr>
        <w:t>。</w:t>
      </w:r>
      <w:r w:rsidR="009B04B1">
        <w:rPr>
          <w:rFonts w:hAnsi="仿宋" w:hint="eastAsia"/>
        </w:rPr>
        <w:t>1-</w:t>
      </w:r>
      <w:r w:rsidR="00272BB7">
        <w:rPr>
          <w:rFonts w:hAnsi="仿宋" w:hint="eastAsia"/>
        </w:rPr>
        <w:t>12</w:t>
      </w:r>
      <w:r w:rsidR="009B04B1">
        <w:rPr>
          <w:rFonts w:hAnsi="仿宋" w:hint="eastAsia"/>
        </w:rPr>
        <w:t>月</w:t>
      </w:r>
      <w:r w:rsidR="002A2CE5" w:rsidRPr="00B31484">
        <w:rPr>
          <w:rFonts w:hAnsi="仿宋" w:hint="eastAsia"/>
        </w:rPr>
        <w:t>，</w:t>
      </w:r>
      <w:r w:rsidR="00093372">
        <w:rPr>
          <w:rFonts w:hAnsi="仿宋" w:hint="eastAsia"/>
        </w:rPr>
        <w:t>洮北</w:t>
      </w:r>
      <w:r w:rsidR="00156EAE" w:rsidRPr="00B31484">
        <w:rPr>
          <w:rFonts w:hAnsi="仿宋" w:hint="eastAsia"/>
        </w:rPr>
        <w:t>法院一审案件服判息诉率</w:t>
      </w:r>
      <w:r w:rsidR="004E0839" w:rsidRPr="00B31484">
        <w:rPr>
          <w:rFonts w:hAnsi="仿宋" w:hint="eastAsia"/>
        </w:rPr>
        <w:t>为</w:t>
      </w:r>
      <w:r w:rsidR="00500CA8">
        <w:rPr>
          <w:rFonts w:hAnsi="仿宋" w:hint="eastAsia"/>
        </w:rPr>
        <w:t>92.51</w:t>
      </w:r>
      <w:r w:rsidR="00163A9A">
        <w:rPr>
          <w:rFonts w:hAnsi="仿宋" w:hint="eastAsia"/>
        </w:rPr>
        <w:t>%</w:t>
      </w:r>
      <w:r w:rsidR="00F633CF" w:rsidRPr="00B31484">
        <w:rPr>
          <w:rFonts w:hAnsi="仿宋" w:hint="eastAsia"/>
        </w:rPr>
        <w:t>。</w:t>
      </w:r>
    </w:p>
    <w:p w:rsidR="00CA1745" w:rsidRPr="00B31484" w:rsidRDefault="00FD1876" w:rsidP="00FD1876">
      <w:pPr>
        <w:spacing w:line="360" w:lineRule="auto"/>
        <w:ind w:firstLineChars="196" w:firstLine="627"/>
        <w:jc w:val="left"/>
        <w:rPr>
          <w:rFonts w:hAnsi="楷体" w:cs="仿宋_GB2312"/>
          <w:b/>
        </w:rPr>
      </w:pPr>
      <w:r w:rsidRPr="0084069D">
        <w:rPr>
          <w:rFonts w:hAnsi="仿宋_GB2312" w:cs="仿宋_GB2312" w:hint="eastAsia"/>
        </w:rPr>
        <w:t>从数据分析看，</w:t>
      </w:r>
      <w:r w:rsidR="009B04B1">
        <w:rPr>
          <w:rFonts w:hAnsi="仿宋_GB2312" w:cs="仿宋_GB2312" w:hint="eastAsia"/>
        </w:rPr>
        <w:t>1-</w:t>
      </w:r>
      <w:r w:rsidR="00272BB7">
        <w:rPr>
          <w:rFonts w:hAnsi="仿宋_GB2312" w:cs="仿宋_GB2312" w:hint="eastAsia"/>
        </w:rPr>
        <w:t>12</w:t>
      </w:r>
      <w:r w:rsidR="009B04B1">
        <w:rPr>
          <w:rFonts w:hAnsi="仿宋_GB2312" w:cs="仿宋_GB2312" w:hint="eastAsia"/>
        </w:rPr>
        <w:t>月</w:t>
      </w:r>
      <w:r w:rsidR="00093372">
        <w:rPr>
          <w:rFonts w:hAnsi="仿宋_GB2312" w:cs="仿宋_GB2312" w:hint="eastAsia"/>
        </w:rPr>
        <w:t>洮北</w:t>
      </w:r>
      <w:r w:rsidRPr="0084069D">
        <w:rPr>
          <w:rFonts w:hAnsi="仿宋_GB2312" w:cs="仿宋_GB2312" w:hint="eastAsia"/>
        </w:rPr>
        <w:t>法院</w:t>
      </w:r>
      <w:r w:rsidR="0084069D" w:rsidRPr="0084069D">
        <w:rPr>
          <w:rFonts w:hAnsi="仿宋_GB2312" w:cs="仿宋_GB2312" w:hint="eastAsia"/>
        </w:rPr>
        <w:t>一审案件服判息诉率</w:t>
      </w:r>
      <w:r w:rsidR="00A87711">
        <w:rPr>
          <w:rFonts w:hAnsi="仿宋_GB2312" w:cs="仿宋_GB2312" w:hint="eastAsia"/>
        </w:rPr>
        <w:t>上升</w:t>
      </w:r>
      <w:r w:rsidR="0084069D">
        <w:rPr>
          <w:rFonts w:hAnsi="仿宋_GB2312" w:cs="仿宋_GB2312" w:hint="eastAsia"/>
        </w:rPr>
        <w:t>，</w:t>
      </w:r>
      <w:r w:rsidRPr="0084069D">
        <w:rPr>
          <w:rFonts w:hAnsi="仿宋_GB2312" w:cs="仿宋_GB2312" w:hint="eastAsia"/>
        </w:rPr>
        <w:t>反映出</w:t>
      </w:r>
      <w:r w:rsidR="00116FBE" w:rsidRPr="0084069D">
        <w:rPr>
          <w:rFonts w:hAnsi="仿宋_GB2312" w:cs="仿宋_GB2312" w:hint="eastAsia"/>
        </w:rPr>
        <w:t>法院</w:t>
      </w:r>
      <w:r w:rsidRPr="0084069D">
        <w:rPr>
          <w:rFonts w:hAnsi="仿宋_GB2312" w:cs="仿宋_GB2312" w:hint="eastAsia"/>
        </w:rPr>
        <w:t>一审案件审判质效实质性的提高，司改成效的进一步显现</w:t>
      </w:r>
      <w:r w:rsidR="00E828FE" w:rsidRPr="0084069D">
        <w:rPr>
          <w:rFonts w:hAnsi="仿宋_GB2312" w:cs="仿宋_GB2312" w:hint="eastAsia"/>
        </w:rPr>
        <w:t>。</w:t>
      </w:r>
    </w:p>
    <w:p w:rsidR="00F633CF" w:rsidRPr="00B31484" w:rsidRDefault="00E87A4B" w:rsidP="00AF21F3">
      <w:pPr>
        <w:spacing w:line="360" w:lineRule="auto"/>
        <w:ind w:firstLineChars="196" w:firstLine="630"/>
        <w:jc w:val="left"/>
        <w:rPr>
          <w:rFonts w:hAnsi="黑体"/>
        </w:rPr>
      </w:pPr>
      <w:r w:rsidRPr="00B31484">
        <w:rPr>
          <w:rFonts w:hAnsi="黑体" w:hint="eastAsia"/>
          <w:b/>
        </w:rPr>
        <w:t>2.</w:t>
      </w:r>
      <w:r w:rsidR="00EE388A" w:rsidRPr="00B31484">
        <w:rPr>
          <w:rFonts w:hAnsi="黑体" w:hint="eastAsia"/>
          <w:b/>
        </w:rPr>
        <w:t>生效案件</w:t>
      </w:r>
      <w:r w:rsidRPr="00B31484">
        <w:rPr>
          <w:rFonts w:hAnsi="黑体" w:cs="仿宋_GB2312" w:hint="eastAsia"/>
          <w:b/>
        </w:rPr>
        <w:t>申请再审、申诉</w:t>
      </w:r>
      <w:r w:rsidR="00DF7FF9">
        <w:rPr>
          <w:rFonts w:hAnsi="黑体" w:cs="仿宋_GB2312" w:hint="eastAsia"/>
          <w:b/>
        </w:rPr>
        <w:t>情况</w:t>
      </w:r>
      <w:r w:rsidRPr="00B31484">
        <w:rPr>
          <w:rFonts w:hAnsi="黑体" w:cs="仿宋_GB2312" w:hint="eastAsia"/>
          <w:b/>
        </w:rPr>
        <w:t>。</w:t>
      </w:r>
      <w:r w:rsidR="009B04B1">
        <w:rPr>
          <w:rFonts w:hAnsi="黑体" w:hint="eastAsia"/>
        </w:rPr>
        <w:t>1</w:t>
      </w:r>
      <w:r w:rsidR="00DD5C6D">
        <w:rPr>
          <w:rFonts w:hAnsi="黑体" w:hint="eastAsia"/>
        </w:rPr>
        <w:t>-</w:t>
      </w:r>
      <w:r w:rsidR="00272BB7">
        <w:rPr>
          <w:rFonts w:hAnsi="黑体" w:hint="eastAsia"/>
        </w:rPr>
        <w:t>12</w:t>
      </w:r>
      <w:r w:rsidR="009B04B1">
        <w:rPr>
          <w:rFonts w:hAnsi="黑体" w:hint="eastAsia"/>
        </w:rPr>
        <w:t>月</w:t>
      </w:r>
      <w:r w:rsidR="00C70DE1" w:rsidRPr="00B31484">
        <w:rPr>
          <w:rFonts w:hAnsi="黑体" w:hint="eastAsia"/>
        </w:rPr>
        <w:t>，</w:t>
      </w:r>
      <w:r w:rsidR="00093372">
        <w:rPr>
          <w:rFonts w:hAnsi="黑体" w:hint="eastAsia"/>
        </w:rPr>
        <w:t>洮北</w:t>
      </w:r>
      <w:r w:rsidR="00C70DE1" w:rsidRPr="00B31484">
        <w:rPr>
          <w:rFonts w:hAnsi="黑体" w:hint="eastAsia"/>
        </w:rPr>
        <w:t>法院</w:t>
      </w:r>
      <w:r w:rsidR="00330939" w:rsidRPr="00B31484">
        <w:rPr>
          <w:rFonts w:hAnsi="黑体" w:hint="eastAsia"/>
        </w:rPr>
        <w:t>生效案件申请再审申诉</w:t>
      </w:r>
      <w:r w:rsidR="00C70DE1" w:rsidRPr="00B31484">
        <w:rPr>
          <w:rFonts w:hAnsi="黑体" w:hint="eastAsia"/>
        </w:rPr>
        <w:t>率</w:t>
      </w:r>
      <w:r w:rsidR="00FD383F" w:rsidRPr="00B31484">
        <w:rPr>
          <w:rFonts w:hAnsi="黑体" w:hint="eastAsia"/>
        </w:rPr>
        <w:t>为</w:t>
      </w:r>
      <w:r w:rsidR="001D44AD">
        <w:rPr>
          <w:rFonts w:hAnsi="黑体" w:hint="eastAsia"/>
        </w:rPr>
        <w:t>1.</w:t>
      </w:r>
      <w:r w:rsidR="00500CA8">
        <w:rPr>
          <w:rFonts w:hAnsi="黑体" w:hint="eastAsia"/>
        </w:rPr>
        <w:t>35</w:t>
      </w:r>
      <w:r w:rsidR="00C70DE1" w:rsidRPr="00B31484">
        <w:rPr>
          <w:rFonts w:hAnsi="黑体" w:hint="eastAsia"/>
        </w:rPr>
        <w:t>%</w:t>
      </w:r>
      <w:r w:rsidR="00F633CF" w:rsidRPr="00B31484">
        <w:rPr>
          <w:rFonts w:hAnsi="黑体" w:hint="eastAsia"/>
        </w:rPr>
        <w:t>。</w:t>
      </w:r>
    </w:p>
    <w:p w:rsidR="00707910" w:rsidRPr="00B31484" w:rsidRDefault="00C70DE1" w:rsidP="00707910">
      <w:pPr>
        <w:spacing w:line="360" w:lineRule="auto"/>
        <w:ind w:firstLineChars="196" w:firstLine="627"/>
        <w:rPr>
          <w:rFonts w:hAnsi="黑体" w:cs="仿宋_GB2312"/>
        </w:rPr>
      </w:pPr>
      <w:r w:rsidRPr="00D913F1">
        <w:rPr>
          <w:rFonts w:hAnsi="黑体" w:cs="仿宋_GB2312" w:hint="eastAsia"/>
        </w:rPr>
        <w:t>从数据分析看，</w:t>
      </w:r>
      <w:r w:rsidR="00F20409" w:rsidRPr="00D913F1">
        <w:rPr>
          <w:rFonts w:hAnsi="黑体" w:cs="仿宋_GB2312" w:hint="eastAsia"/>
        </w:rPr>
        <w:t>各类型</w:t>
      </w:r>
      <w:r w:rsidR="00F20409" w:rsidRPr="00D913F1">
        <w:rPr>
          <w:rFonts w:hAnsi="黑体" w:hint="eastAsia"/>
        </w:rPr>
        <w:t>生效案件</w:t>
      </w:r>
      <w:r w:rsidR="00F20409" w:rsidRPr="00D913F1">
        <w:rPr>
          <w:rFonts w:hAnsi="黑体" w:cs="仿宋_GB2312" w:hint="eastAsia"/>
        </w:rPr>
        <w:t>申请再审、申诉率整体呈小幅</w:t>
      </w:r>
      <w:r w:rsidR="00D50D11">
        <w:rPr>
          <w:rFonts w:hAnsi="黑体" w:cs="仿宋_GB2312" w:hint="eastAsia"/>
        </w:rPr>
        <w:t>下降</w:t>
      </w:r>
      <w:r w:rsidR="000F25AD">
        <w:rPr>
          <w:rFonts w:hAnsi="黑体" w:cs="仿宋_GB2312" w:hint="eastAsia"/>
        </w:rPr>
        <w:t>，各类型案件</w:t>
      </w:r>
      <w:r w:rsidR="00D71FCD" w:rsidRPr="00B31484">
        <w:rPr>
          <w:rFonts w:hAnsi="黑体" w:cs="仿宋_GB2312" w:hint="eastAsia"/>
        </w:rPr>
        <w:t>判后答疑</w:t>
      </w:r>
      <w:r w:rsidR="00F20409" w:rsidRPr="00B31484">
        <w:rPr>
          <w:rFonts w:hAnsi="黑体" w:cs="仿宋_GB2312" w:hint="eastAsia"/>
        </w:rPr>
        <w:t>等</w:t>
      </w:r>
      <w:r w:rsidR="00D71FCD" w:rsidRPr="00B31484">
        <w:rPr>
          <w:rFonts w:hAnsi="黑体" w:cs="仿宋_GB2312" w:hint="eastAsia"/>
        </w:rPr>
        <w:t>服判息诉工作</w:t>
      </w:r>
      <w:r w:rsidR="00D50D11">
        <w:rPr>
          <w:rFonts w:hAnsi="黑体" w:cs="仿宋_GB2312" w:hint="eastAsia"/>
        </w:rPr>
        <w:t>仍</w:t>
      </w:r>
      <w:r w:rsidR="00F20409" w:rsidRPr="00B31484">
        <w:rPr>
          <w:rFonts w:hAnsi="黑体" w:cs="仿宋_GB2312" w:hint="eastAsia"/>
        </w:rPr>
        <w:t>需加强</w:t>
      </w:r>
      <w:r w:rsidR="00D71FCD" w:rsidRPr="00B31484">
        <w:rPr>
          <w:rFonts w:hAnsi="黑体" w:cs="仿宋_GB2312" w:hint="eastAsia"/>
        </w:rPr>
        <w:t>。</w:t>
      </w:r>
    </w:p>
    <w:p w:rsidR="00C746B1" w:rsidRPr="00B31484" w:rsidRDefault="00E87A4B" w:rsidP="00383A36">
      <w:pPr>
        <w:spacing w:line="360" w:lineRule="auto"/>
        <w:ind w:firstLineChars="196" w:firstLine="630"/>
        <w:jc w:val="left"/>
        <w:rPr>
          <w:rFonts w:hAnsi="黑体"/>
        </w:rPr>
      </w:pPr>
      <w:r w:rsidRPr="00B31484">
        <w:rPr>
          <w:rFonts w:hAnsi="黑体" w:cs="仿宋_GB2312" w:hint="eastAsia"/>
          <w:b/>
        </w:rPr>
        <w:t>3</w:t>
      </w:r>
      <w:r w:rsidR="002B3221" w:rsidRPr="00B31484">
        <w:rPr>
          <w:rFonts w:hAnsi="黑体" w:hint="eastAsia"/>
        </w:rPr>
        <w:t>.</w:t>
      </w:r>
      <w:r w:rsidR="00E828FE" w:rsidRPr="00E828FE">
        <w:rPr>
          <w:rFonts w:hAnsi="黑体" w:cs="仿宋_GB2312" w:hint="eastAsia"/>
          <w:b/>
        </w:rPr>
        <w:t xml:space="preserve"> </w:t>
      </w:r>
      <w:r w:rsidR="00E828FE" w:rsidRPr="00B31484">
        <w:rPr>
          <w:rFonts w:hAnsi="黑体" w:cs="仿宋_GB2312" w:hint="eastAsia"/>
          <w:b/>
        </w:rPr>
        <w:t>改判、</w:t>
      </w:r>
      <w:r w:rsidR="002B3221" w:rsidRPr="00B31484">
        <w:rPr>
          <w:rFonts w:hAnsi="黑体" w:cs="仿宋_GB2312" w:hint="eastAsia"/>
          <w:b/>
        </w:rPr>
        <w:t>发回重审、指令再审情况。</w:t>
      </w:r>
      <w:r w:rsidR="009B04B1">
        <w:rPr>
          <w:rFonts w:hAnsi="黑体" w:cs="仿宋_GB2312" w:hint="eastAsia"/>
        </w:rPr>
        <w:t>1-</w:t>
      </w:r>
      <w:r w:rsidR="00272BB7">
        <w:rPr>
          <w:rFonts w:hAnsi="黑体" w:cs="仿宋_GB2312" w:hint="eastAsia"/>
        </w:rPr>
        <w:t>12</w:t>
      </w:r>
      <w:r w:rsidR="009B04B1">
        <w:rPr>
          <w:rFonts w:hAnsi="黑体" w:cs="仿宋_GB2312" w:hint="eastAsia"/>
        </w:rPr>
        <w:t>月</w:t>
      </w:r>
      <w:r w:rsidR="00DD0A3B" w:rsidRPr="00B31484">
        <w:rPr>
          <w:rFonts w:hAnsi="黑体" w:cs="仿宋_GB2312" w:hint="eastAsia"/>
        </w:rPr>
        <w:t>，</w:t>
      </w:r>
      <w:r w:rsidR="00093372">
        <w:rPr>
          <w:rFonts w:hAnsi="黑体" w:hint="eastAsia"/>
        </w:rPr>
        <w:t>洮北</w:t>
      </w:r>
      <w:r w:rsidR="00571FC3" w:rsidRPr="00B31484">
        <w:rPr>
          <w:rFonts w:hAnsi="黑体" w:hint="eastAsia"/>
        </w:rPr>
        <w:t>法院</w:t>
      </w:r>
      <w:r w:rsidR="00DD0A3B" w:rsidRPr="00B31484">
        <w:rPr>
          <w:rFonts w:hAnsi="黑体" w:hint="eastAsia"/>
        </w:rPr>
        <w:t>改判、发回重审</w:t>
      </w:r>
      <w:r w:rsidR="006548CF">
        <w:rPr>
          <w:rFonts w:hAnsi="黑体" w:hint="eastAsia"/>
        </w:rPr>
        <w:t>率</w:t>
      </w:r>
      <w:r w:rsidR="001D44AD">
        <w:rPr>
          <w:rFonts w:hAnsi="黑体" w:hint="eastAsia"/>
        </w:rPr>
        <w:t>1.</w:t>
      </w:r>
      <w:r w:rsidR="00500CA8">
        <w:rPr>
          <w:rFonts w:hAnsi="黑体" w:hint="eastAsia"/>
        </w:rPr>
        <w:t>78</w:t>
      </w:r>
      <w:r w:rsidR="006548CF">
        <w:rPr>
          <w:rFonts w:hAnsi="黑体" w:hint="eastAsia"/>
        </w:rPr>
        <w:t>%</w:t>
      </w:r>
      <w:r w:rsidR="00E358CA">
        <w:rPr>
          <w:rFonts w:hAnsi="黑体" w:hint="eastAsia"/>
        </w:rPr>
        <w:t xml:space="preserve"> </w:t>
      </w:r>
      <w:r w:rsidR="006548CF">
        <w:rPr>
          <w:rFonts w:hAnsi="黑体" w:hint="eastAsia"/>
        </w:rPr>
        <w:t>。</w:t>
      </w:r>
    </w:p>
    <w:p w:rsidR="002B3221" w:rsidRDefault="00000EF8" w:rsidP="00A0200F">
      <w:pPr>
        <w:spacing w:line="600" w:lineRule="exact"/>
        <w:ind w:firstLineChars="200" w:firstLine="640"/>
        <w:rPr>
          <w:rFonts w:hAnsi="黑体"/>
        </w:rPr>
      </w:pPr>
      <w:r>
        <w:rPr>
          <w:rFonts w:hAnsi="黑体" w:hint="eastAsia"/>
        </w:rPr>
        <w:t>按照</w:t>
      </w:r>
      <w:r w:rsidR="008D0546">
        <w:rPr>
          <w:rFonts w:hAnsi="黑体" w:hint="eastAsia"/>
        </w:rPr>
        <w:t>省法院</w:t>
      </w:r>
      <w:r w:rsidR="005D28B1" w:rsidRPr="00B31484">
        <w:rPr>
          <w:rFonts w:hAnsi="黑体" w:hint="eastAsia"/>
        </w:rPr>
        <w:t>组织开展</w:t>
      </w:r>
      <w:r w:rsidR="00A0200F" w:rsidRPr="00B31484">
        <w:rPr>
          <w:rFonts w:hAnsi="黑体" w:hint="eastAsia"/>
        </w:rPr>
        <w:t>了</w:t>
      </w:r>
      <w:r>
        <w:rPr>
          <w:rFonts w:hAnsi="黑体" w:hint="eastAsia"/>
        </w:rPr>
        <w:t>发</w:t>
      </w:r>
      <w:r w:rsidR="005D28B1" w:rsidRPr="00B31484">
        <w:rPr>
          <w:rFonts w:hAnsi="黑体" w:hint="eastAsia"/>
        </w:rPr>
        <w:t>改案件评查</w:t>
      </w:r>
      <w:r w:rsidR="007A4813">
        <w:rPr>
          <w:rFonts w:hAnsi="黑体" w:hint="eastAsia"/>
        </w:rPr>
        <w:t>作为</w:t>
      </w:r>
      <w:r w:rsidR="00EA36C3">
        <w:rPr>
          <w:rFonts w:hAnsi="黑体" w:hint="eastAsia"/>
        </w:rPr>
        <w:t>抓</w:t>
      </w:r>
      <w:r w:rsidR="007A4813">
        <w:rPr>
          <w:rFonts w:hAnsi="黑体" w:hint="eastAsia"/>
        </w:rPr>
        <w:t>案件质量</w:t>
      </w:r>
      <w:r w:rsidR="007A4813">
        <w:rPr>
          <w:rFonts w:hAnsi="黑体" w:hint="eastAsia"/>
        </w:rPr>
        <w:lastRenderedPageBreak/>
        <w:t>的重要抓手，今年</w:t>
      </w:r>
      <w:r w:rsidR="001C4AE8">
        <w:rPr>
          <w:rFonts w:hAnsi="黑体" w:hint="eastAsia"/>
        </w:rPr>
        <w:t>已部署</w:t>
      </w:r>
      <w:r>
        <w:rPr>
          <w:rFonts w:hAnsi="黑体" w:hint="eastAsia"/>
        </w:rPr>
        <w:t>开展季度</w:t>
      </w:r>
      <w:r w:rsidR="007A4813">
        <w:rPr>
          <w:rFonts w:hAnsi="黑体" w:hint="eastAsia"/>
        </w:rPr>
        <w:t>评查工作，并做好制度设定，建立</w:t>
      </w:r>
      <w:r w:rsidR="00527E33">
        <w:rPr>
          <w:rFonts w:hAnsi="黑体" w:hint="eastAsia"/>
        </w:rPr>
        <w:t>台账</w:t>
      </w:r>
      <w:r w:rsidR="00973220">
        <w:rPr>
          <w:rFonts w:hAnsi="黑体" w:hint="eastAsia"/>
        </w:rPr>
        <w:t>，实行</w:t>
      </w:r>
      <w:r w:rsidR="00527E33">
        <w:rPr>
          <w:rFonts w:hAnsi="黑体" w:hint="eastAsia"/>
        </w:rPr>
        <w:t>跟踪考核，</w:t>
      </w:r>
      <w:r w:rsidR="00973220">
        <w:rPr>
          <w:rFonts w:hAnsi="黑体" w:hint="eastAsia"/>
        </w:rPr>
        <w:t>开展</w:t>
      </w:r>
      <w:r w:rsidR="007A4813">
        <w:rPr>
          <w:rFonts w:hAnsi="黑体" w:hint="eastAsia"/>
        </w:rPr>
        <w:t>常态</w:t>
      </w:r>
      <w:r w:rsidR="007371DA">
        <w:rPr>
          <w:rFonts w:hAnsi="黑体" w:hint="eastAsia"/>
        </w:rPr>
        <w:t>化</w:t>
      </w:r>
      <w:r w:rsidR="00527E33">
        <w:rPr>
          <w:rFonts w:hAnsi="黑体" w:hint="eastAsia"/>
        </w:rPr>
        <w:t>评查</w:t>
      </w:r>
      <w:r w:rsidR="007A4813">
        <w:rPr>
          <w:rFonts w:hAnsi="黑体" w:hint="eastAsia"/>
        </w:rPr>
        <w:t>。</w:t>
      </w:r>
    </w:p>
    <w:p w:rsidR="00FA346C" w:rsidRPr="00685BD7" w:rsidRDefault="00FA346C" w:rsidP="00734840">
      <w:pPr>
        <w:spacing w:line="360" w:lineRule="auto"/>
        <w:ind w:firstLineChars="196" w:firstLine="630"/>
        <w:jc w:val="left"/>
        <w:rPr>
          <w:rFonts w:ascii="楷体_GB2312" w:eastAsia="楷体_GB2312" w:hAnsi="楷体"/>
          <w:b/>
        </w:rPr>
      </w:pPr>
      <w:r w:rsidRPr="00685BD7">
        <w:rPr>
          <w:rFonts w:ascii="楷体_GB2312" w:eastAsia="楷体_GB2312" w:hAnsi="楷体" w:hint="eastAsia"/>
          <w:b/>
        </w:rPr>
        <w:t>（三）司法责任制重点工作情况</w:t>
      </w:r>
    </w:p>
    <w:p w:rsidR="00FA346C" w:rsidRPr="00B31484" w:rsidRDefault="00FA346C" w:rsidP="00FA346C">
      <w:pPr>
        <w:spacing w:line="360" w:lineRule="auto"/>
        <w:ind w:firstLineChars="196" w:firstLine="630"/>
        <w:jc w:val="left"/>
        <w:rPr>
          <w:rFonts w:hAnsi="仿宋"/>
        </w:rPr>
      </w:pPr>
      <w:r w:rsidRPr="00B31484">
        <w:rPr>
          <w:rFonts w:hAnsi="仿宋" w:hint="eastAsia"/>
          <w:b/>
        </w:rPr>
        <w:t>1.入额院领导办案情况。</w:t>
      </w:r>
      <w:r>
        <w:rPr>
          <w:rFonts w:hAnsi="Times New Roman" w:hint="eastAsia"/>
        </w:rPr>
        <w:t>洮北</w:t>
      </w:r>
      <w:r w:rsidRPr="00B31484">
        <w:rPr>
          <w:rFonts w:hAnsi="Times New Roman" w:hint="eastAsia"/>
        </w:rPr>
        <w:t>法院入额院领导现有</w:t>
      </w:r>
      <w:r w:rsidR="00203E43">
        <w:rPr>
          <w:rFonts w:hAnsi="Times New Roman" w:hint="eastAsia"/>
        </w:rPr>
        <w:t>6</w:t>
      </w:r>
      <w:r w:rsidRPr="00B31484">
        <w:rPr>
          <w:rFonts w:hAnsi="Times New Roman" w:hint="eastAsia"/>
        </w:rPr>
        <w:t>人，占</w:t>
      </w:r>
      <w:r>
        <w:rPr>
          <w:rFonts w:hAnsi="Times New Roman" w:hint="eastAsia"/>
        </w:rPr>
        <w:t>洮北</w:t>
      </w:r>
      <w:r w:rsidRPr="00B31484">
        <w:rPr>
          <w:rFonts w:hAnsi="Times New Roman" w:hint="eastAsia"/>
        </w:rPr>
        <w:t>法院入额法官总数的</w:t>
      </w:r>
      <w:r w:rsidR="00163A9A">
        <w:rPr>
          <w:rFonts w:hAnsi="Times New Roman" w:hint="eastAsia"/>
        </w:rPr>
        <w:t>15</w:t>
      </w:r>
      <w:r w:rsidRPr="00B31484">
        <w:rPr>
          <w:rFonts w:hAnsi="Times New Roman" w:hint="eastAsia"/>
        </w:rPr>
        <w:t>%</w:t>
      </w:r>
      <w:r w:rsidR="000E4EBD">
        <w:rPr>
          <w:rFonts w:hAnsi="Times New Roman" w:hint="eastAsia"/>
        </w:rPr>
        <w:t>，</w:t>
      </w:r>
      <w:r w:rsidR="00163A9A">
        <w:rPr>
          <w:rFonts w:hAnsi="Times New Roman" w:hint="eastAsia"/>
        </w:rPr>
        <w:t xml:space="preserve"> </w:t>
      </w:r>
      <w:r w:rsidR="009B04B1">
        <w:rPr>
          <w:rFonts w:hAnsi="Times New Roman" w:hint="eastAsia"/>
        </w:rPr>
        <w:t>1-</w:t>
      </w:r>
      <w:r w:rsidR="00272BB7">
        <w:rPr>
          <w:rFonts w:hAnsi="Times New Roman" w:hint="eastAsia"/>
        </w:rPr>
        <w:t>12</w:t>
      </w:r>
      <w:r w:rsidR="009B04B1">
        <w:rPr>
          <w:rFonts w:hAnsi="Times New Roman" w:hint="eastAsia"/>
        </w:rPr>
        <w:t>月</w:t>
      </w:r>
      <w:r w:rsidRPr="00B31484">
        <w:rPr>
          <w:rFonts w:hAnsi="Times New Roman" w:hint="eastAsia"/>
        </w:rPr>
        <w:t>受理案件</w:t>
      </w:r>
      <w:r w:rsidR="00DD4477">
        <w:rPr>
          <w:rFonts w:hAnsi="Times New Roman" w:hint="eastAsia"/>
        </w:rPr>
        <w:t>384</w:t>
      </w:r>
      <w:r>
        <w:rPr>
          <w:rFonts w:hAnsi="Times New Roman" w:hint="eastAsia"/>
        </w:rPr>
        <w:t>件</w:t>
      </w:r>
      <w:r w:rsidRPr="00B31484">
        <w:rPr>
          <w:rFonts w:hAnsi="Times New Roman" w:hint="eastAsia"/>
        </w:rPr>
        <w:t>，占</w:t>
      </w:r>
      <w:r>
        <w:rPr>
          <w:rFonts w:hAnsi="Times New Roman" w:hint="eastAsia"/>
        </w:rPr>
        <w:t>洮北</w:t>
      </w:r>
      <w:r w:rsidRPr="00B31484">
        <w:rPr>
          <w:rFonts w:hAnsi="Times New Roman" w:hint="eastAsia"/>
        </w:rPr>
        <w:t>法院受案总数的</w:t>
      </w:r>
      <w:r w:rsidR="00DD4477">
        <w:rPr>
          <w:rFonts w:hAnsi="Times New Roman" w:hint="eastAsia"/>
        </w:rPr>
        <w:t>4.17</w:t>
      </w:r>
      <w:r w:rsidRPr="00B31484">
        <w:rPr>
          <w:rFonts w:hAnsi="Times New Roman" w:hint="eastAsia"/>
        </w:rPr>
        <w:t>%，</w:t>
      </w:r>
      <w:r w:rsidR="00B62DB1">
        <w:rPr>
          <w:rFonts w:hAnsi="Times New Roman" w:hint="eastAsia"/>
        </w:rPr>
        <w:t>洮北</w:t>
      </w:r>
      <w:r w:rsidRPr="00B31484">
        <w:rPr>
          <w:rFonts w:hAnsi="Times New Roman" w:hint="eastAsia"/>
        </w:rPr>
        <w:t>法院入额院领导均已承办案件，并承办重点类型案件，</w:t>
      </w:r>
      <w:r w:rsidR="00B62DB1">
        <w:rPr>
          <w:rFonts w:hAnsi="Times New Roman" w:hint="eastAsia"/>
        </w:rPr>
        <w:t>洮北法</w:t>
      </w:r>
      <w:r w:rsidRPr="00B31484">
        <w:rPr>
          <w:rFonts w:hAnsi="Times New Roman" w:hint="eastAsia"/>
        </w:rPr>
        <w:t>院按月统计发布</w:t>
      </w:r>
      <w:r>
        <w:rPr>
          <w:rFonts w:hAnsi="Times New Roman" w:hint="eastAsia"/>
        </w:rPr>
        <w:t>洮北</w:t>
      </w:r>
      <w:r w:rsidRPr="00B31484">
        <w:rPr>
          <w:rFonts w:hAnsi="Times New Roman" w:hint="eastAsia"/>
        </w:rPr>
        <w:t>法院院领导办案数据信息，按季度分析通报</w:t>
      </w:r>
      <w:r w:rsidRPr="00B31484">
        <w:rPr>
          <w:rFonts w:hAnsi="仿宋" w:hint="eastAsia"/>
        </w:rPr>
        <w:t>。</w:t>
      </w:r>
    </w:p>
    <w:p w:rsidR="00FA346C" w:rsidRPr="00377FC2" w:rsidRDefault="00FA346C" w:rsidP="00FA346C">
      <w:pPr>
        <w:spacing w:line="360" w:lineRule="auto"/>
        <w:ind w:firstLineChars="196" w:firstLine="630"/>
        <w:jc w:val="left"/>
        <w:rPr>
          <w:rFonts w:hAnsi="仿宋"/>
        </w:rPr>
      </w:pPr>
      <w:r w:rsidRPr="00B31484">
        <w:rPr>
          <w:rFonts w:hAnsi="黑体" w:hint="eastAsia"/>
          <w:b/>
        </w:rPr>
        <w:t>2.审委会工作情况。</w:t>
      </w:r>
      <w:r w:rsidR="00FA7DAA">
        <w:rPr>
          <w:rFonts w:hAnsi="仿宋" w:hint="eastAsia"/>
        </w:rPr>
        <w:t>2020</w:t>
      </w:r>
      <w:r w:rsidR="000C4D73">
        <w:rPr>
          <w:rFonts w:hAnsi="仿宋" w:hint="eastAsia"/>
        </w:rPr>
        <w:t>年</w:t>
      </w:r>
      <w:r w:rsidR="00FA7DAA">
        <w:rPr>
          <w:rFonts w:hAnsi="仿宋" w:hint="eastAsia"/>
        </w:rPr>
        <w:t>1-</w:t>
      </w:r>
      <w:r w:rsidR="00DD4477">
        <w:rPr>
          <w:rFonts w:hAnsi="仿宋" w:hint="eastAsia"/>
        </w:rPr>
        <w:t>12</w:t>
      </w:r>
      <w:r w:rsidR="00FA7DAA">
        <w:rPr>
          <w:rFonts w:hAnsi="仿宋" w:hint="eastAsia"/>
        </w:rPr>
        <w:t>月</w:t>
      </w:r>
      <w:r w:rsidRPr="00377FC2">
        <w:rPr>
          <w:rFonts w:hAnsi="仿宋" w:hint="eastAsia"/>
        </w:rPr>
        <w:t>，</w:t>
      </w:r>
      <w:r>
        <w:rPr>
          <w:rFonts w:hAnsi="仿宋" w:hint="eastAsia"/>
        </w:rPr>
        <w:t>洮北</w:t>
      </w:r>
      <w:r w:rsidRPr="00377FC2">
        <w:rPr>
          <w:rFonts w:hAnsi="仿宋" w:hint="eastAsia"/>
        </w:rPr>
        <w:t>法院持续推进审委会改革，严格按照最高院总结审判经验、统一裁判标准、限缩研讨案件数量、加强监督指导</w:t>
      </w:r>
      <w:r>
        <w:rPr>
          <w:rFonts w:hAnsi="仿宋" w:hint="eastAsia"/>
        </w:rPr>
        <w:t>的要求，推动审委会职能转变。洮北法院审委会职能重心</w:t>
      </w:r>
      <w:r w:rsidRPr="00377FC2">
        <w:rPr>
          <w:rFonts w:hAnsi="仿宋" w:hint="eastAsia"/>
        </w:rPr>
        <w:t>已从</w:t>
      </w:r>
      <w:r>
        <w:rPr>
          <w:rFonts w:hAnsi="仿宋" w:hint="eastAsia"/>
        </w:rPr>
        <w:t>注重</w:t>
      </w:r>
      <w:r w:rsidRPr="00377FC2">
        <w:rPr>
          <w:rFonts w:hAnsi="仿宋" w:hint="eastAsia"/>
        </w:rPr>
        <w:t>讨论个案</w:t>
      </w:r>
      <w:r>
        <w:rPr>
          <w:rFonts w:hAnsi="仿宋" w:hint="eastAsia"/>
        </w:rPr>
        <w:t>向</w:t>
      </w:r>
      <w:r w:rsidRPr="00377FC2">
        <w:rPr>
          <w:rFonts w:hAnsi="仿宋" w:hint="eastAsia"/>
        </w:rPr>
        <w:t>宏观总结经验、</w:t>
      </w:r>
      <w:r>
        <w:rPr>
          <w:rFonts w:hAnsi="仿宋" w:hint="eastAsia"/>
        </w:rPr>
        <w:t>全面评查发改案件、</w:t>
      </w:r>
      <w:r w:rsidRPr="00377FC2">
        <w:rPr>
          <w:rFonts w:hAnsi="仿宋" w:hint="eastAsia"/>
        </w:rPr>
        <w:t>研究审判规范性文件和审判运行态势分析等工作上来。</w:t>
      </w:r>
      <w:r w:rsidR="009B04B1">
        <w:rPr>
          <w:rFonts w:hAnsi="仿宋" w:hint="eastAsia"/>
        </w:rPr>
        <w:t>1-</w:t>
      </w:r>
      <w:r w:rsidR="00500CA8">
        <w:rPr>
          <w:rFonts w:hAnsi="仿宋" w:hint="eastAsia"/>
        </w:rPr>
        <w:t>12</w:t>
      </w:r>
      <w:r w:rsidR="009B04B1">
        <w:rPr>
          <w:rFonts w:hAnsi="仿宋" w:hint="eastAsia"/>
        </w:rPr>
        <w:t>月</w:t>
      </w:r>
      <w:r>
        <w:rPr>
          <w:rFonts w:hAnsi="仿宋" w:hint="eastAsia"/>
        </w:rPr>
        <w:t>洮北</w:t>
      </w:r>
      <w:r w:rsidRPr="00377FC2">
        <w:rPr>
          <w:rFonts w:hAnsi="仿宋" w:hint="eastAsia"/>
        </w:rPr>
        <w:t>法院共召开审委会</w:t>
      </w:r>
      <w:r w:rsidR="00500CA8">
        <w:rPr>
          <w:rFonts w:hAnsi="仿宋" w:hint="eastAsia"/>
        </w:rPr>
        <w:t>12</w:t>
      </w:r>
      <w:r w:rsidR="00B62DB1">
        <w:rPr>
          <w:rFonts w:hAnsi="仿宋" w:hint="eastAsia"/>
        </w:rPr>
        <w:t>次</w:t>
      </w:r>
      <w:r w:rsidRPr="00377FC2">
        <w:rPr>
          <w:rFonts w:hAnsi="仿宋" w:hint="eastAsia"/>
        </w:rPr>
        <w:t>，研讨案件</w:t>
      </w:r>
      <w:r w:rsidR="00500CA8">
        <w:rPr>
          <w:rFonts w:hAnsi="仿宋" w:hint="eastAsia"/>
        </w:rPr>
        <w:t>45</w:t>
      </w:r>
      <w:r w:rsidRPr="00377FC2">
        <w:rPr>
          <w:rFonts w:hAnsi="仿宋" w:hint="eastAsia"/>
        </w:rPr>
        <w:t>件。审委会改革已经取得一定成效，但仍需持续推动巩固。</w:t>
      </w:r>
    </w:p>
    <w:p w:rsidR="00FA346C" w:rsidRPr="00B31484" w:rsidRDefault="00E0676A" w:rsidP="00FA346C">
      <w:pPr>
        <w:spacing w:line="360" w:lineRule="auto"/>
        <w:ind w:firstLineChars="196" w:firstLine="630"/>
        <w:jc w:val="left"/>
        <w:rPr>
          <w:rFonts w:hAnsi="仿宋"/>
          <w:b/>
        </w:rPr>
      </w:pPr>
      <w:r>
        <w:rPr>
          <w:rFonts w:hAnsi="仿宋" w:hint="eastAsia"/>
          <w:b/>
        </w:rPr>
        <w:t>3</w:t>
      </w:r>
      <w:r w:rsidR="00FA346C" w:rsidRPr="00B31484">
        <w:rPr>
          <w:rFonts w:hAnsi="仿宋" w:hint="eastAsia"/>
          <w:b/>
        </w:rPr>
        <w:t>.审判绩效考核工作</w:t>
      </w:r>
      <w:r w:rsidR="00FA346C">
        <w:rPr>
          <w:rFonts w:hAnsi="仿宋" w:hint="eastAsia"/>
          <w:b/>
        </w:rPr>
        <w:t>情况</w:t>
      </w:r>
      <w:r w:rsidR="00FA346C" w:rsidRPr="00B31484">
        <w:rPr>
          <w:rFonts w:hAnsi="仿宋" w:hint="eastAsia"/>
          <w:b/>
        </w:rPr>
        <w:t>。</w:t>
      </w:r>
      <w:r w:rsidR="009B04B1">
        <w:rPr>
          <w:rFonts w:hint="eastAsia"/>
        </w:rPr>
        <w:t>1-</w:t>
      </w:r>
      <w:r w:rsidR="00500CA8">
        <w:rPr>
          <w:rFonts w:hint="eastAsia"/>
        </w:rPr>
        <w:t>12</w:t>
      </w:r>
      <w:r w:rsidR="009B04B1">
        <w:rPr>
          <w:rFonts w:hint="eastAsia"/>
        </w:rPr>
        <w:t>月</w:t>
      </w:r>
      <w:r w:rsidR="00FA346C" w:rsidRPr="00B31484">
        <w:rPr>
          <w:rFonts w:hint="eastAsia"/>
        </w:rPr>
        <w:t>，为更好地做好</w:t>
      </w:r>
      <w:r w:rsidR="008B7A6F">
        <w:rPr>
          <w:rFonts w:hint="eastAsia"/>
        </w:rPr>
        <w:t>2020</w:t>
      </w:r>
      <w:r w:rsidR="00FA346C" w:rsidRPr="00B31484">
        <w:rPr>
          <w:rFonts w:hint="eastAsia"/>
        </w:rPr>
        <w:t>年度</w:t>
      </w:r>
      <w:r w:rsidR="008B7A6F">
        <w:rPr>
          <w:rFonts w:hint="eastAsia"/>
        </w:rPr>
        <w:t>上半年</w:t>
      </w:r>
      <w:r w:rsidR="00FA346C" w:rsidRPr="00B31484">
        <w:rPr>
          <w:rFonts w:hint="eastAsia"/>
        </w:rPr>
        <w:t>审判绩效考核工作，广泛征求各方意见建议，积极学习借鉴外地的做法，提高了审判绩效考核工作的科学性、客观性和被认可度，努力追求实现审判绩效考核作用的最大化发挥。</w:t>
      </w:r>
    </w:p>
    <w:p w:rsidR="00FA346C" w:rsidRPr="00685BD7" w:rsidRDefault="00FA346C" w:rsidP="00734840">
      <w:pPr>
        <w:spacing w:line="360" w:lineRule="auto"/>
        <w:ind w:firstLineChars="196" w:firstLine="630"/>
        <w:jc w:val="left"/>
        <w:rPr>
          <w:rFonts w:ascii="楷体_GB2312" w:eastAsia="楷体_GB2312" w:hAnsi="楷体"/>
          <w:b/>
        </w:rPr>
      </w:pPr>
      <w:r w:rsidRPr="00685BD7">
        <w:rPr>
          <w:rFonts w:ascii="楷体_GB2312" w:eastAsia="楷体_GB2312" w:hAnsi="楷体" w:hint="eastAsia"/>
          <w:b/>
        </w:rPr>
        <w:lastRenderedPageBreak/>
        <w:t>（四）司法公开</w:t>
      </w:r>
      <w:r>
        <w:rPr>
          <w:rFonts w:ascii="楷体_GB2312" w:eastAsia="楷体_GB2312" w:hAnsi="楷体" w:hint="eastAsia"/>
          <w:b/>
        </w:rPr>
        <w:t>工作情况</w:t>
      </w:r>
    </w:p>
    <w:p w:rsidR="00FA346C" w:rsidRPr="00B31484" w:rsidRDefault="00FA346C" w:rsidP="00FA346C">
      <w:pPr>
        <w:spacing w:line="360" w:lineRule="auto"/>
        <w:ind w:firstLineChars="196" w:firstLine="627"/>
        <w:jc w:val="left"/>
      </w:pPr>
      <w:r w:rsidRPr="00B31484">
        <w:rPr>
          <w:rFonts w:hint="eastAsia"/>
          <w:color w:val="000000"/>
        </w:rPr>
        <w:t>几年来，</w:t>
      </w:r>
      <w:r>
        <w:rPr>
          <w:rFonts w:hint="eastAsia"/>
          <w:color w:val="000000"/>
        </w:rPr>
        <w:t>洮北</w:t>
      </w:r>
      <w:r w:rsidRPr="00B31484">
        <w:rPr>
          <w:rFonts w:hint="eastAsia"/>
          <w:color w:val="000000"/>
        </w:rPr>
        <w:t>法院按照最高法院的部署要求，全面推进审判流程公开、裁判文书公开、庭审活动公开、执行公开、司法透明度评测等工作</w:t>
      </w:r>
      <w:r>
        <w:rPr>
          <w:rFonts w:hint="eastAsia"/>
          <w:color w:val="000000"/>
        </w:rPr>
        <w:t>。</w:t>
      </w:r>
    </w:p>
    <w:p w:rsidR="00FA346C" w:rsidRPr="00685BD7" w:rsidRDefault="00FA346C" w:rsidP="00734840">
      <w:pPr>
        <w:spacing w:line="360" w:lineRule="auto"/>
        <w:ind w:firstLineChars="196" w:firstLine="630"/>
        <w:jc w:val="left"/>
        <w:rPr>
          <w:rFonts w:ascii="楷体_GB2312" w:eastAsia="楷体_GB2312" w:hAnsi="楷体"/>
          <w:b/>
        </w:rPr>
      </w:pPr>
      <w:r w:rsidRPr="00685BD7">
        <w:rPr>
          <w:rFonts w:ascii="楷体_GB2312" w:eastAsia="楷体_GB2312" w:hAnsi="楷体" w:hint="eastAsia"/>
          <w:b/>
        </w:rPr>
        <w:t>（五）审判流程管理工作</w:t>
      </w:r>
      <w:r>
        <w:rPr>
          <w:rFonts w:ascii="楷体_GB2312" w:eastAsia="楷体_GB2312" w:hAnsi="楷体" w:hint="eastAsia"/>
          <w:b/>
        </w:rPr>
        <w:t>情况</w:t>
      </w:r>
    </w:p>
    <w:p w:rsidR="00FA346C" w:rsidRDefault="00FA346C" w:rsidP="00FA346C">
      <w:pPr>
        <w:spacing w:line="360" w:lineRule="auto"/>
        <w:ind w:firstLine="658"/>
        <w:rPr>
          <w:rFonts w:hAnsi="仿宋_GB2312" w:cs="仿宋_GB2312"/>
          <w:color w:val="000000" w:themeColor="text1"/>
        </w:rPr>
      </w:pPr>
      <w:r w:rsidRPr="00B31484">
        <w:rPr>
          <w:rFonts w:hAnsi="仿宋" w:hint="eastAsia"/>
          <w:b/>
        </w:rPr>
        <w:t>1.长期未结诉讼案件清理情况。</w:t>
      </w:r>
      <w:r w:rsidRPr="00B31484">
        <w:rPr>
          <w:rFonts w:hAnsi="仿宋" w:hint="eastAsia"/>
        </w:rPr>
        <w:t>最高法院按季度</w:t>
      </w:r>
      <w:r>
        <w:rPr>
          <w:rFonts w:hAnsi="仿宋" w:hint="eastAsia"/>
        </w:rPr>
        <w:t>通报</w:t>
      </w:r>
      <w:r w:rsidRPr="00B31484">
        <w:rPr>
          <w:rFonts w:hAnsi="仿宋" w:hint="eastAsia"/>
        </w:rPr>
        <w:t>长期未结诉讼案件</w:t>
      </w:r>
      <w:r>
        <w:rPr>
          <w:rFonts w:hAnsi="仿宋" w:hint="eastAsia"/>
        </w:rPr>
        <w:t>情况</w:t>
      </w:r>
      <w:r w:rsidRPr="00B31484">
        <w:rPr>
          <w:rFonts w:hAnsi="仿宋" w:hint="eastAsia"/>
        </w:rPr>
        <w:t>，</w:t>
      </w:r>
      <w:r w:rsidR="00B62DB1">
        <w:rPr>
          <w:rFonts w:hAnsi="Arial" w:cs="Arial" w:hint="eastAsia"/>
          <w:color w:val="000000"/>
        </w:rPr>
        <w:t>洮北</w:t>
      </w:r>
      <w:r w:rsidRPr="00B31484">
        <w:rPr>
          <w:rFonts w:hAnsi="Arial" w:cs="Arial" w:hint="eastAsia"/>
          <w:color w:val="000000"/>
        </w:rPr>
        <w:t>法院长期未结诉讼案件清理效果较好，长期未结诉讼案件数量大幅下降，</w:t>
      </w:r>
      <w:r w:rsidR="000C4D73">
        <w:rPr>
          <w:rFonts w:hAnsi="Arial" w:cs="Arial" w:hint="eastAsia"/>
          <w:color w:val="000000"/>
        </w:rPr>
        <w:t>长期未结诉讼案件占比为0</w:t>
      </w:r>
      <w:r w:rsidR="00040724">
        <w:rPr>
          <w:rFonts w:hint="eastAsia"/>
          <w:color w:val="000000"/>
        </w:rPr>
        <w:t>。</w:t>
      </w:r>
      <w:r w:rsidRPr="00B31484">
        <w:rPr>
          <w:rFonts w:hint="eastAsia"/>
          <w:color w:val="000000"/>
        </w:rPr>
        <w:t>长期未结诉讼案件清理整体态势较好</w:t>
      </w:r>
      <w:r>
        <w:rPr>
          <w:rFonts w:hint="eastAsia"/>
          <w:color w:val="000000"/>
        </w:rPr>
        <w:t>，</w:t>
      </w:r>
      <w:r w:rsidR="00B62DB1">
        <w:rPr>
          <w:rFonts w:hint="eastAsia"/>
          <w:color w:val="000000"/>
        </w:rPr>
        <w:t>洮北法院</w:t>
      </w:r>
      <w:r>
        <w:rPr>
          <w:rFonts w:hint="eastAsia"/>
          <w:color w:val="000000"/>
        </w:rPr>
        <w:t>这些案件纳入重点清理范围，要</w:t>
      </w:r>
      <w:r w:rsidRPr="00B31484">
        <w:rPr>
          <w:rFonts w:hint="eastAsia"/>
          <w:color w:val="000000"/>
        </w:rPr>
        <w:t>常态化清理，巩固得来不易的清理成效</w:t>
      </w:r>
      <w:r w:rsidRPr="00B31484">
        <w:rPr>
          <w:rFonts w:hAnsi="仿宋_GB2312" w:cs="仿宋_GB2312" w:hint="eastAsia"/>
          <w:color w:val="000000" w:themeColor="text1"/>
        </w:rPr>
        <w:t>。</w:t>
      </w:r>
    </w:p>
    <w:p w:rsidR="00FA346C" w:rsidRDefault="00FA346C" w:rsidP="00FA346C">
      <w:pPr>
        <w:spacing w:line="360" w:lineRule="auto"/>
        <w:ind w:firstLineChars="196" w:firstLine="630"/>
        <w:jc w:val="left"/>
        <w:rPr>
          <w:rFonts w:hAnsi="仿宋"/>
        </w:rPr>
      </w:pPr>
      <w:r w:rsidRPr="00B31484">
        <w:rPr>
          <w:rFonts w:hAnsi="仿宋" w:hint="eastAsia"/>
          <w:b/>
        </w:rPr>
        <w:t>2.卷宗归档情况。</w:t>
      </w:r>
      <w:r w:rsidRPr="00B31484">
        <w:rPr>
          <w:rFonts w:hint="eastAsia"/>
          <w:color w:val="000000"/>
        </w:rPr>
        <w:t>几年来，省高院持续、强力推进结案卷宗归档工作，取得了较好的</w:t>
      </w:r>
      <w:r>
        <w:rPr>
          <w:rFonts w:hint="eastAsia"/>
          <w:color w:val="000000"/>
        </w:rPr>
        <w:t>管理</w:t>
      </w:r>
      <w:r w:rsidRPr="00B31484">
        <w:rPr>
          <w:rFonts w:hint="eastAsia"/>
          <w:color w:val="000000"/>
        </w:rPr>
        <w:t>成效</w:t>
      </w:r>
      <w:r>
        <w:rPr>
          <w:rFonts w:hint="eastAsia"/>
          <w:color w:val="000000"/>
        </w:rPr>
        <w:t>，在此基础上又进一步加大管理力度，将归档期限限定为1个月</w:t>
      </w:r>
      <w:r w:rsidRPr="00B31484">
        <w:rPr>
          <w:rFonts w:hint="eastAsia"/>
          <w:color w:val="000000"/>
        </w:rPr>
        <w:t>。</w:t>
      </w:r>
    </w:p>
    <w:p w:rsidR="00FA346C" w:rsidRPr="00B31484" w:rsidRDefault="00FA346C" w:rsidP="00FA346C">
      <w:pPr>
        <w:spacing w:line="600" w:lineRule="exact"/>
        <w:ind w:firstLineChars="200" w:firstLine="643"/>
        <w:rPr>
          <w:rFonts w:hAnsi="仿宋"/>
        </w:rPr>
      </w:pPr>
      <w:r w:rsidRPr="002C7398">
        <w:rPr>
          <w:rFonts w:hAnsi="仿宋" w:hint="eastAsia"/>
          <w:b/>
        </w:rPr>
        <w:t>3.</w:t>
      </w:r>
      <w:r w:rsidRPr="002C7398">
        <w:rPr>
          <w:rFonts w:hAnsi="黑体" w:hint="eastAsia"/>
          <w:b/>
        </w:rPr>
        <w:t xml:space="preserve"> 简易程序适用情况。</w:t>
      </w:r>
      <w:r w:rsidRPr="00F72759">
        <w:rPr>
          <w:rFonts w:hAnsi="黑体" w:hint="eastAsia"/>
        </w:rPr>
        <w:t>为推进案件繁简分流，</w:t>
      </w:r>
      <w:r>
        <w:rPr>
          <w:rFonts w:hAnsi="黑体" w:hint="eastAsia"/>
        </w:rPr>
        <w:t>强调考核基层法院一审简易程序适用率。</w:t>
      </w:r>
      <w:r w:rsidR="009B04B1">
        <w:rPr>
          <w:rFonts w:hAnsi="黑体" w:hint="eastAsia"/>
        </w:rPr>
        <w:t>1-</w:t>
      </w:r>
      <w:r w:rsidR="00500CA8">
        <w:rPr>
          <w:rFonts w:hAnsi="黑体" w:hint="eastAsia"/>
        </w:rPr>
        <w:t>12</w:t>
      </w:r>
      <w:r w:rsidR="009B04B1">
        <w:rPr>
          <w:rFonts w:hAnsi="黑体" w:hint="eastAsia"/>
        </w:rPr>
        <w:t>月</w:t>
      </w:r>
      <w:r>
        <w:rPr>
          <w:rFonts w:hAnsi="黑体" w:hint="eastAsia"/>
        </w:rPr>
        <w:t>，洮北基层法院简易程序适用率达到</w:t>
      </w:r>
      <w:r w:rsidR="00D6606E">
        <w:rPr>
          <w:rFonts w:hAnsi="黑体" w:hint="eastAsia"/>
        </w:rPr>
        <w:t>8</w:t>
      </w:r>
      <w:r w:rsidR="00DD5C6D">
        <w:rPr>
          <w:rFonts w:hAnsi="黑体" w:hint="eastAsia"/>
        </w:rPr>
        <w:t>8.9</w:t>
      </w:r>
      <w:r w:rsidR="00500CA8">
        <w:rPr>
          <w:rFonts w:hAnsi="黑体" w:hint="eastAsia"/>
        </w:rPr>
        <w:t>6</w:t>
      </w:r>
      <w:r>
        <w:rPr>
          <w:rFonts w:hAnsi="黑体" w:hint="eastAsia"/>
        </w:rPr>
        <w:t>%</w:t>
      </w:r>
      <w:r w:rsidR="00D6606E">
        <w:rPr>
          <w:rFonts w:hAnsi="黑体" w:hint="eastAsia"/>
        </w:rPr>
        <w:t>。</w:t>
      </w:r>
      <w:r>
        <w:rPr>
          <w:rFonts w:hAnsi="黑体" w:hint="eastAsia"/>
        </w:rPr>
        <w:t>。</w:t>
      </w:r>
    </w:p>
    <w:p w:rsidR="002B48F9" w:rsidRPr="00B62DB1" w:rsidRDefault="002B48F9" w:rsidP="00CA5965">
      <w:pPr>
        <w:spacing w:line="360" w:lineRule="auto"/>
        <w:ind w:firstLineChars="200" w:firstLine="640"/>
        <w:rPr>
          <w:rFonts w:hAnsi="仿宋_GB2312" w:cs="仿宋_GB2312"/>
          <w:color w:val="000000" w:themeColor="text1"/>
        </w:rPr>
      </w:pPr>
    </w:p>
    <w:sectPr w:rsidR="002B48F9" w:rsidRPr="00B62DB1" w:rsidSect="00274805">
      <w:footerReference w:type="default" r:id="rId9"/>
      <w:pgSz w:w="11906" w:h="16838"/>
      <w:pgMar w:top="1440" w:right="1800" w:bottom="1440" w:left="1800" w:header="851" w:footer="850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91" w:rsidRDefault="00264F91" w:rsidP="002A2CE5">
      <w:r>
        <w:separator/>
      </w:r>
    </w:p>
  </w:endnote>
  <w:endnote w:type="continuationSeparator" w:id="0">
    <w:p w:rsidR="00264F91" w:rsidRDefault="00264F91" w:rsidP="002A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94963"/>
      <w:docPartObj>
        <w:docPartGallery w:val="Page Numbers (Bottom of Page)"/>
        <w:docPartUnique/>
      </w:docPartObj>
    </w:sdtPr>
    <w:sdtEndPr/>
    <w:sdtContent>
      <w:p w:rsidR="008B43D9" w:rsidRDefault="005D43A5">
        <w:pPr>
          <w:pStyle w:val="a5"/>
          <w:jc w:val="center"/>
        </w:pPr>
        <w:r>
          <w:fldChar w:fldCharType="begin"/>
        </w:r>
        <w:r w:rsidR="008B43D9">
          <w:instrText xml:space="preserve"> PAGE   \* MERGEFORMAT </w:instrText>
        </w:r>
        <w:r>
          <w:fldChar w:fldCharType="separate"/>
        </w:r>
        <w:r w:rsidR="00CA5965" w:rsidRPr="00CA5965">
          <w:rPr>
            <w:noProof/>
            <w:lang w:val="zh-CN"/>
          </w:rPr>
          <w:t>2</w:t>
        </w:r>
        <w:r>
          <w:fldChar w:fldCharType="end"/>
        </w:r>
      </w:p>
    </w:sdtContent>
  </w:sdt>
  <w:p w:rsidR="008B43D9" w:rsidRDefault="008B43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91" w:rsidRDefault="00264F91" w:rsidP="002A2CE5">
      <w:r>
        <w:separator/>
      </w:r>
    </w:p>
  </w:footnote>
  <w:footnote w:type="continuationSeparator" w:id="0">
    <w:p w:rsidR="00264F91" w:rsidRDefault="00264F91" w:rsidP="002A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E2EC3"/>
    <w:multiLevelType w:val="hybridMultilevel"/>
    <w:tmpl w:val="774657A6"/>
    <w:lvl w:ilvl="0" w:tplc="A2C04408">
      <w:start w:val="1"/>
      <w:numFmt w:val="japaneseCounting"/>
      <w:lvlText w:val="%1、"/>
      <w:lvlJc w:val="left"/>
      <w:pPr>
        <w:ind w:left="135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178F3"/>
    <w:multiLevelType w:val="singleLevel"/>
    <w:tmpl w:val="676ABA9E"/>
    <w:lvl w:ilvl="0">
      <w:start w:val="2"/>
      <w:numFmt w:val="chineseCounting"/>
      <w:suff w:val="nothing"/>
      <w:lvlText w:val="（%1）"/>
      <w:lvlJc w:val="left"/>
      <w:rPr>
        <w:b/>
        <w:lang w:val="en-US"/>
      </w:rPr>
    </w:lvl>
  </w:abstractNum>
  <w:abstractNum w:abstractNumId="2">
    <w:nsid w:val="66D66554"/>
    <w:multiLevelType w:val="hybridMultilevel"/>
    <w:tmpl w:val="FDD2FE0E"/>
    <w:lvl w:ilvl="0" w:tplc="111227CE">
      <w:start w:val="7"/>
      <w:numFmt w:val="japaneseCounting"/>
      <w:lvlText w:val="（%1）"/>
      <w:lvlJc w:val="left"/>
      <w:pPr>
        <w:ind w:left="1720" w:hanging="1080"/>
      </w:pPr>
      <w:rPr>
        <w:rFonts w:ascii="仿宋" w:eastAsia="仿宋" w:hAnsi="仿宋" w:hint="eastAsia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2CE5"/>
    <w:rsid w:val="000006B7"/>
    <w:rsid w:val="00000EF8"/>
    <w:rsid w:val="00004D50"/>
    <w:rsid w:val="00006A8D"/>
    <w:rsid w:val="00013A1C"/>
    <w:rsid w:val="0001760F"/>
    <w:rsid w:val="0002020C"/>
    <w:rsid w:val="0003442C"/>
    <w:rsid w:val="00036414"/>
    <w:rsid w:val="00036964"/>
    <w:rsid w:val="00040724"/>
    <w:rsid w:val="00040CFA"/>
    <w:rsid w:val="00045DF9"/>
    <w:rsid w:val="000501AB"/>
    <w:rsid w:val="00051E23"/>
    <w:rsid w:val="0005223E"/>
    <w:rsid w:val="00052DFE"/>
    <w:rsid w:val="000554C2"/>
    <w:rsid w:val="000558B0"/>
    <w:rsid w:val="00055C88"/>
    <w:rsid w:val="00056D60"/>
    <w:rsid w:val="00057813"/>
    <w:rsid w:val="00057D9E"/>
    <w:rsid w:val="000628D5"/>
    <w:rsid w:val="00064C24"/>
    <w:rsid w:val="0006643F"/>
    <w:rsid w:val="00066447"/>
    <w:rsid w:val="00072A80"/>
    <w:rsid w:val="00076E7A"/>
    <w:rsid w:val="00077549"/>
    <w:rsid w:val="000830A9"/>
    <w:rsid w:val="000830AA"/>
    <w:rsid w:val="00085179"/>
    <w:rsid w:val="000855ED"/>
    <w:rsid w:val="00091EBC"/>
    <w:rsid w:val="00093372"/>
    <w:rsid w:val="000A183A"/>
    <w:rsid w:val="000A5DA9"/>
    <w:rsid w:val="000A6B09"/>
    <w:rsid w:val="000A6C0E"/>
    <w:rsid w:val="000B1BB8"/>
    <w:rsid w:val="000B4173"/>
    <w:rsid w:val="000B4272"/>
    <w:rsid w:val="000C01BE"/>
    <w:rsid w:val="000C2E20"/>
    <w:rsid w:val="000C4D73"/>
    <w:rsid w:val="000C4E65"/>
    <w:rsid w:val="000C5497"/>
    <w:rsid w:val="000C67C4"/>
    <w:rsid w:val="000C6B73"/>
    <w:rsid w:val="000C729F"/>
    <w:rsid w:val="000C7464"/>
    <w:rsid w:val="000E0EFC"/>
    <w:rsid w:val="000E2995"/>
    <w:rsid w:val="000E4407"/>
    <w:rsid w:val="000E4EBD"/>
    <w:rsid w:val="000E4F7E"/>
    <w:rsid w:val="000E525B"/>
    <w:rsid w:val="000E708A"/>
    <w:rsid w:val="000F25AD"/>
    <w:rsid w:val="000F67A5"/>
    <w:rsid w:val="000F6EC5"/>
    <w:rsid w:val="000F78BE"/>
    <w:rsid w:val="001003E5"/>
    <w:rsid w:val="00104E2A"/>
    <w:rsid w:val="00105758"/>
    <w:rsid w:val="00105D51"/>
    <w:rsid w:val="00105DE6"/>
    <w:rsid w:val="00106010"/>
    <w:rsid w:val="00116091"/>
    <w:rsid w:val="00116FBE"/>
    <w:rsid w:val="00117843"/>
    <w:rsid w:val="00124B6D"/>
    <w:rsid w:val="00124C45"/>
    <w:rsid w:val="00125E9C"/>
    <w:rsid w:val="00136306"/>
    <w:rsid w:val="00137CCE"/>
    <w:rsid w:val="001410B7"/>
    <w:rsid w:val="00141271"/>
    <w:rsid w:val="0014377F"/>
    <w:rsid w:val="00143A82"/>
    <w:rsid w:val="00143FF9"/>
    <w:rsid w:val="00147A66"/>
    <w:rsid w:val="00152920"/>
    <w:rsid w:val="0015465E"/>
    <w:rsid w:val="00154899"/>
    <w:rsid w:val="00154B0A"/>
    <w:rsid w:val="00156EAE"/>
    <w:rsid w:val="001575B6"/>
    <w:rsid w:val="00160F57"/>
    <w:rsid w:val="00161AC1"/>
    <w:rsid w:val="00163510"/>
    <w:rsid w:val="00163A9A"/>
    <w:rsid w:val="0016631F"/>
    <w:rsid w:val="00176931"/>
    <w:rsid w:val="001800D9"/>
    <w:rsid w:val="0018674C"/>
    <w:rsid w:val="001951E5"/>
    <w:rsid w:val="00195EFB"/>
    <w:rsid w:val="001977FF"/>
    <w:rsid w:val="001A78D4"/>
    <w:rsid w:val="001B1D7E"/>
    <w:rsid w:val="001C0456"/>
    <w:rsid w:val="001C2302"/>
    <w:rsid w:val="001C4AE8"/>
    <w:rsid w:val="001C6E3F"/>
    <w:rsid w:val="001D1536"/>
    <w:rsid w:val="001D2348"/>
    <w:rsid w:val="001D32CC"/>
    <w:rsid w:val="001D44AD"/>
    <w:rsid w:val="001E138B"/>
    <w:rsid w:val="001E1ED7"/>
    <w:rsid w:val="001E5B43"/>
    <w:rsid w:val="001E64FE"/>
    <w:rsid w:val="001E69DD"/>
    <w:rsid w:val="001F0EED"/>
    <w:rsid w:val="001F24F0"/>
    <w:rsid w:val="001F4DD9"/>
    <w:rsid w:val="001F6B98"/>
    <w:rsid w:val="00201688"/>
    <w:rsid w:val="0020222E"/>
    <w:rsid w:val="00203E43"/>
    <w:rsid w:val="0020409E"/>
    <w:rsid w:val="00204780"/>
    <w:rsid w:val="002048CE"/>
    <w:rsid w:val="00207313"/>
    <w:rsid w:val="002128B9"/>
    <w:rsid w:val="002170C1"/>
    <w:rsid w:val="00217813"/>
    <w:rsid w:val="00220DE2"/>
    <w:rsid w:val="00222836"/>
    <w:rsid w:val="00225937"/>
    <w:rsid w:val="00226229"/>
    <w:rsid w:val="002317BB"/>
    <w:rsid w:val="002347D1"/>
    <w:rsid w:val="00234AE2"/>
    <w:rsid w:val="002419AC"/>
    <w:rsid w:val="0024278F"/>
    <w:rsid w:val="002432B8"/>
    <w:rsid w:val="00245401"/>
    <w:rsid w:val="00250891"/>
    <w:rsid w:val="00250A58"/>
    <w:rsid w:val="002605BF"/>
    <w:rsid w:val="00264E8F"/>
    <w:rsid w:val="00264F91"/>
    <w:rsid w:val="0026670C"/>
    <w:rsid w:val="00267BC5"/>
    <w:rsid w:val="00271DEE"/>
    <w:rsid w:val="00272BB7"/>
    <w:rsid w:val="00274805"/>
    <w:rsid w:val="00282CD4"/>
    <w:rsid w:val="00283A89"/>
    <w:rsid w:val="00286CB0"/>
    <w:rsid w:val="002870DA"/>
    <w:rsid w:val="002879AB"/>
    <w:rsid w:val="002969F3"/>
    <w:rsid w:val="002A2CE5"/>
    <w:rsid w:val="002A5810"/>
    <w:rsid w:val="002A5B40"/>
    <w:rsid w:val="002A7639"/>
    <w:rsid w:val="002B0AF4"/>
    <w:rsid w:val="002B3221"/>
    <w:rsid w:val="002B48F9"/>
    <w:rsid w:val="002C0279"/>
    <w:rsid w:val="002C5F78"/>
    <w:rsid w:val="002C6BED"/>
    <w:rsid w:val="002C6DD9"/>
    <w:rsid w:val="002C7398"/>
    <w:rsid w:val="002D12BC"/>
    <w:rsid w:val="002D24F1"/>
    <w:rsid w:val="002D511B"/>
    <w:rsid w:val="002D739F"/>
    <w:rsid w:val="002E4FC3"/>
    <w:rsid w:val="002E6707"/>
    <w:rsid w:val="002E6884"/>
    <w:rsid w:val="002E6DFB"/>
    <w:rsid w:val="002F5116"/>
    <w:rsid w:val="002F5BF0"/>
    <w:rsid w:val="002F7C63"/>
    <w:rsid w:val="0030000D"/>
    <w:rsid w:val="00302D6C"/>
    <w:rsid w:val="00304B54"/>
    <w:rsid w:val="00307B00"/>
    <w:rsid w:val="00307C53"/>
    <w:rsid w:val="00311488"/>
    <w:rsid w:val="003121DE"/>
    <w:rsid w:val="00320592"/>
    <w:rsid w:val="00320643"/>
    <w:rsid w:val="00322E32"/>
    <w:rsid w:val="00324124"/>
    <w:rsid w:val="00324755"/>
    <w:rsid w:val="00325644"/>
    <w:rsid w:val="00327C07"/>
    <w:rsid w:val="00330743"/>
    <w:rsid w:val="00330796"/>
    <w:rsid w:val="00330939"/>
    <w:rsid w:val="0033140B"/>
    <w:rsid w:val="00332DB9"/>
    <w:rsid w:val="00332E9C"/>
    <w:rsid w:val="0033471E"/>
    <w:rsid w:val="00336B08"/>
    <w:rsid w:val="00336B3B"/>
    <w:rsid w:val="00341830"/>
    <w:rsid w:val="003439BD"/>
    <w:rsid w:val="003473FC"/>
    <w:rsid w:val="00347BC0"/>
    <w:rsid w:val="00351886"/>
    <w:rsid w:val="00354781"/>
    <w:rsid w:val="00357980"/>
    <w:rsid w:val="00360602"/>
    <w:rsid w:val="0036636C"/>
    <w:rsid w:val="003721C1"/>
    <w:rsid w:val="00375FBC"/>
    <w:rsid w:val="00376A30"/>
    <w:rsid w:val="00377FC2"/>
    <w:rsid w:val="0038072E"/>
    <w:rsid w:val="00380FEA"/>
    <w:rsid w:val="00381691"/>
    <w:rsid w:val="003822EA"/>
    <w:rsid w:val="00383A36"/>
    <w:rsid w:val="0038573F"/>
    <w:rsid w:val="00385BBC"/>
    <w:rsid w:val="003878A2"/>
    <w:rsid w:val="00387DD4"/>
    <w:rsid w:val="003942C3"/>
    <w:rsid w:val="003950FD"/>
    <w:rsid w:val="00395668"/>
    <w:rsid w:val="003956DD"/>
    <w:rsid w:val="00395BB2"/>
    <w:rsid w:val="00395D9C"/>
    <w:rsid w:val="00396702"/>
    <w:rsid w:val="00396DAE"/>
    <w:rsid w:val="003A30BC"/>
    <w:rsid w:val="003A33B4"/>
    <w:rsid w:val="003A3E47"/>
    <w:rsid w:val="003A4CA8"/>
    <w:rsid w:val="003A5459"/>
    <w:rsid w:val="003B1461"/>
    <w:rsid w:val="003B248B"/>
    <w:rsid w:val="003B3AA1"/>
    <w:rsid w:val="003B5317"/>
    <w:rsid w:val="003B5C79"/>
    <w:rsid w:val="003C0F83"/>
    <w:rsid w:val="003C6FCA"/>
    <w:rsid w:val="003D6B74"/>
    <w:rsid w:val="003E188D"/>
    <w:rsid w:val="003E2706"/>
    <w:rsid w:val="003E4BAD"/>
    <w:rsid w:val="003F1266"/>
    <w:rsid w:val="003F14F5"/>
    <w:rsid w:val="003F1AEC"/>
    <w:rsid w:val="003F2233"/>
    <w:rsid w:val="003F22D7"/>
    <w:rsid w:val="003F74E7"/>
    <w:rsid w:val="0040320A"/>
    <w:rsid w:val="00410BA0"/>
    <w:rsid w:val="00416027"/>
    <w:rsid w:val="0042190C"/>
    <w:rsid w:val="00425698"/>
    <w:rsid w:val="00426801"/>
    <w:rsid w:val="00430A12"/>
    <w:rsid w:val="00431D30"/>
    <w:rsid w:val="00433CD4"/>
    <w:rsid w:val="00434178"/>
    <w:rsid w:val="004341A5"/>
    <w:rsid w:val="00435816"/>
    <w:rsid w:val="004362AA"/>
    <w:rsid w:val="00440C15"/>
    <w:rsid w:val="0044403D"/>
    <w:rsid w:val="00453E2A"/>
    <w:rsid w:val="00456FD5"/>
    <w:rsid w:val="004579E8"/>
    <w:rsid w:val="0046141F"/>
    <w:rsid w:val="0046782D"/>
    <w:rsid w:val="00471100"/>
    <w:rsid w:val="00475521"/>
    <w:rsid w:val="00475604"/>
    <w:rsid w:val="0049173A"/>
    <w:rsid w:val="004962F7"/>
    <w:rsid w:val="00497C4B"/>
    <w:rsid w:val="004A1780"/>
    <w:rsid w:val="004A3DFF"/>
    <w:rsid w:val="004A52E3"/>
    <w:rsid w:val="004A73DD"/>
    <w:rsid w:val="004B2AD5"/>
    <w:rsid w:val="004C02F2"/>
    <w:rsid w:val="004C1E03"/>
    <w:rsid w:val="004C4B61"/>
    <w:rsid w:val="004C5FCA"/>
    <w:rsid w:val="004C6408"/>
    <w:rsid w:val="004C7CE2"/>
    <w:rsid w:val="004D073E"/>
    <w:rsid w:val="004D17F1"/>
    <w:rsid w:val="004D1848"/>
    <w:rsid w:val="004D4DB9"/>
    <w:rsid w:val="004D7D6C"/>
    <w:rsid w:val="004E0839"/>
    <w:rsid w:val="004E36AB"/>
    <w:rsid w:val="004E4EC5"/>
    <w:rsid w:val="004E6E8B"/>
    <w:rsid w:val="004F2FF1"/>
    <w:rsid w:val="004F5048"/>
    <w:rsid w:val="00500CA8"/>
    <w:rsid w:val="00504196"/>
    <w:rsid w:val="005066A9"/>
    <w:rsid w:val="00510996"/>
    <w:rsid w:val="00510F9E"/>
    <w:rsid w:val="0051700A"/>
    <w:rsid w:val="00520B63"/>
    <w:rsid w:val="00523155"/>
    <w:rsid w:val="0052507A"/>
    <w:rsid w:val="00525172"/>
    <w:rsid w:val="00525F96"/>
    <w:rsid w:val="00527C97"/>
    <w:rsid w:val="00527E33"/>
    <w:rsid w:val="0053009E"/>
    <w:rsid w:val="00535F47"/>
    <w:rsid w:val="005426B5"/>
    <w:rsid w:val="00545EBB"/>
    <w:rsid w:val="0054731D"/>
    <w:rsid w:val="00550451"/>
    <w:rsid w:val="00550DF4"/>
    <w:rsid w:val="00554188"/>
    <w:rsid w:val="00560358"/>
    <w:rsid w:val="005609DC"/>
    <w:rsid w:val="0056171C"/>
    <w:rsid w:val="00562415"/>
    <w:rsid w:val="005626EF"/>
    <w:rsid w:val="00563C78"/>
    <w:rsid w:val="0056437C"/>
    <w:rsid w:val="00567EA5"/>
    <w:rsid w:val="00570609"/>
    <w:rsid w:val="005706B3"/>
    <w:rsid w:val="00571FC3"/>
    <w:rsid w:val="00572CCC"/>
    <w:rsid w:val="00575473"/>
    <w:rsid w:val="00580E44"/>
    <w:rsid w:val="00581493"/>
    <w:rsid w:val="00582370"/>
    <w:rsid w:val="00584852"/>
    <w:rsid w:val="00587E5B"/>
    <w:rsid w:val="00590C9E"/>
    <w:rsid w:val="00592D6C"/>
    <w:rsid w:val="00594218"/>
    <w:rsid w:val="0059426E"/>
    <w:rsid w:val="005943B3"/>
    <w:rsid w:val="005945A0"/>
    <w:rsid w:val="00596906"/>
    <w:rsid w:val="005A2059"/>
    <w:rsid w:val="005A2BB7"/>
    <w:rsid w:val="005A38FF"/>
    <w:rsid w:val="005A6F36"/>
    <w:rsid w:val="005B0E12"/>
    <w:rsid w:val="005B1980"/>
    <w:rsid w:val="005B1F0B"/>
    <w:rsid w:val="005B5840"/>
    <w:rsid w:val="005C696F"/>
    <w:rsid w:val="005D04A2"/>
    <w:rsid w:val="005D04E7"/>
    <w:rsid w:val="005D28B1"/>
    <w:rsid w:val="005D40CC"/>
    <w:rsid w:val="005D43A5"/>
    <w:rsid w:val="005D527D"/>
    <w:rsid w:val="005D56A8"/>
    <w:rsid w:val="005E506B"/>
    <w:rsid w:val="005F1F5A"/>
    <w:rsid w:val="005F341A"/>
    <w:rsid w:val="005F3FBE"/>
    <w:rsid w:val="005F5621"/>
    <w:rsid w:val="005F7C5F"/>
    <w:rsid w:val="0060039A"/>
    <w:rsid w:val="00600D03"/>
    <w:rsid w:val="00605487"/>
    <w:rsid w:val="00615112"/>
    <w:rsid w:val="006153DF"/>
    <w:rsid w:val="0061688C"/>
    <w:rsid w:val="006176F4"/>
    <w:rsid w:val="00617FDA"/>
    <w:rsid w:val="00621171"/>
    <w:rsid w:val="00622BF7"/>
    <w:rsid w:val="00624AA1"/>
    <w:rsid w:val="00625BF3"/>
    <w:rsid w:val="0063182B"/>
    <w:rsid w:val="00633F48"/>
    <w:rsid w:val="00634050"/>
    <w:rsid w:val="006346A1"/>
    <w:rsid w:val="00636FC8"/>
    <w:rsid w:val="0064362F"/>
    <w:rsid w:val="00646D36"/>
    <w:rsid w:val="00646F32"/>
    <w:rsid w:val="0064775C"/>
    <w:rsid w:val="0065056A"/>
    <w:rsid w:val="006519B9"/>
    <w:rsid w:val="006527F9"/>
    <w:rsid w:val="006548CF"/>
    <w:rsid w:val="00654FC0"/>
    <w:rsid w:val="006624E9"/>
    <w:rsid w:val="00671F68"/>
    <w:rsid w:val="0067224C"/>
    <w:rsid w:val="00675074"/>
    <w:rsid w:val="00681263"/>
    <w:rsid w:val="00684E4E"/>
    <w:rsid w:val="006856B5"/>
    <w:rsid w:val="00685BD7"/>
    <w:rsid w:val="006867FE"/>
    <w:rsid w:val="006871B8"/>
    <w:rsid w:val="00690687"/>
    <w:rsid w:val="006907EF"/>
    <w:rsid w:val="00697E80"/>
    <w:rsid w:val="006A13B1"/>
    <w:rsid w:val="006A3FBD"/>
    <w:rsid w:val="006A401A"/>
    <w:rsid w:val="006B1D14"/>
    <w:rsid w:val="006B329D"/>
    <w:rsid w:val="006B56D0"/>
    <w:rsid w:val="006C1698"/>
    <w:rsid w:val="006C3D22"/>
    <w:rsid w:val="006C7F68"/>
    <w:rsid w:val="006D4AEA"/>
    <w:rsid w:val="006E6770"/>
    <w:rsid w:val="006E6CF8"/>
    <w:rsid w:val="006F2CD2"/>
    <w:rsid w:val="006F4C13"/>
    <w:rsid w:val="006F7BBA"/>
    <w:rsid w:val="007009DF"/>
    <w:rsid w:val="007043CB"/>
    <w:rsid w:val="00707910"/>
    <w:rsid w:val="007103DB"/>
    <w:rsid w:val="00714C8F"/>
    <w:rsid w:val="007166CB"/>
    <w:rsid w:val="00717E9E"/>
    <w:rsid w:val="00723479"/>
    <w:rsid w:val="007237F1"/>
    <w:rsid w:val="00723820"/>
    <w:rsid w:val="0072706C"/>
    <w:rsid w:val="00731DAE"/>
    <w:rsid w:val="00732E7B"/>
    <w:rsid w:val="00734840"/>
    <w:rsid w:val="00734DD2"/>
    <w:rsid w:val="00736D44"/>
    <w:rsid w:val="007371DA"/>
    <w:rsid w:val="00742729"/>
    <w:rsid w:val="00743882"/>
    <w:rsid w:val="00746231"/>
    <w:rsid w:val="00746808"/>
    <w:rsid w:val="0074762A"/>
    <w:rsid w:val="007522A6"/>
    <w:rsid w:val="00753D12"/>
    <w:rsid w:val="00755538"/>
    <w:rsid w:val="00756E39"/>
    <w:rsid w:val="007643AA"/>
    <w:rsid w:val="00770453"/>
    <w:rsid w:val="00773127"/>
    <w:rsid w:val="00780DEA"/>
    <w:rsid w:val="00784F3E"/>
    <w:rsid w:val="00786314"/>
    <w:rsid w:val="00786F3B"/>
    <w:rsid w:val="00790849"/>
    <w:rsid w:val="00797E14"/>
    <w:rsid w:val="007A37D6"/>
    <w:rsid w:val="007A4813"/>
    <w:rsid w:val="007B50BA"/>
    <w:rsid w:val="007B79A6"/>
    <w:rsid w:val="007C43DC"/>
    <w:rsid w:val="007C64A8"/>
    <w:rsid w:val="007D19D0"/>
    <w:rsid w:val="007D3492"/>
    <w:rsid w:val="007D46F0"/>
    <w:rsid w:val="007D5B69"/>
    <w:rsid w:val="007E3C64"/>
    <w:rsid w:val="007F2C9B"/>
    <w:rsid w:val="007F328C"/>
    <w:rsid w:val="007F4011"/>
    <w:rsid w:val="007F7DFF"/>
    <w:rsid w:val="008040E6"/>
    <w:rsid w:val="00804310"/>
    <w:rsid w:val="00810B62"/>
    <w:rsid w:val="00814722"/>
    <w:rsid w:val="00814966"/>
    <w:rsid w:val="00816C93"/>
    <w:rsid w:val="008178ED"/>
    <w:rsid w:val="00825EEE"/>
    <w:rsid w:val="00827621"/>
    <w:rsid w:val="00834118"/>
    <w:rsid w:val="0083467C"/>
    <w:rsid w:val="00836152"/>
    <w:rsid w:val="008361BB"/>
    <w:rsid w:val="00836A8A"/>
    <w:rsid w:val="0084069D"/>
    <w:rsid w:val="00840817"/>
    <w:rsid w:val="00840E9B"/>
    <w:rsid w:val="00844055"/>
    <w:rsid w:val="008452F2"/>
    <w:rsid w:val="0084752F"/>
    <w:rsid w:val="00847D90"/>
    <w:rsid w:val="008524D3"/>
    <w:rsid w:val="00853279"/>
    <w:rsid w:val="00855B89"/>
    <w:rsid w:val="00855F6B"/>
    <w:rsid w:val="008613CF"/>
    <w:rsid w:val="00861EA9"/>
    <w:rsid w:val="00863CB2"/>
    <w:rsid w:val="00871B31"/>
    <w:rsid w:val="00872201"/>
    <w:rsid w:val="00881491"/>
    <w:rsid w:val="00886405"/>
    <w:rsid w:val="0089247F"/>
    <w:rsid w:val="0089410F"/>
    <w:rsid w:val="008A297B"/>
    <w:rsid w:val="008A2D89"/>
    <w:rsid w:val="008A3FA0"/>
    <w:rsid w:val="008A4B6F"/>
    <w:rsid w:val="008A501C"/>
    <w:rsid w:val="008B01C7"/>
    <w:rsid w:val="008B2B7B"/>
    <w:rsid w:val="008B2CE4"/>
    <w:rsid w:val="008B43D9"/>
    <w:rsid w:val="008B7A6F"/>
    <w:rsid w:val="008C05DA"/>
    <w:rsid w:val="008C34BE"/>
    <w:rsid w:val="008C3892"/>
    <w:rsid w:val="008C418B"/>
    <w:rsid w:val="008C62B4"/>
    <w:rsid w:val="008D0546"/>
    <w:rsid w:val="008D11CA"/>
    <w:rsid w:val="008D24EC"/>
    <w:rsid w:val="008D4D1A"/>
    <w:rsid w:val="008D7C4F"/>
    <w:rsid w:val="008E30A1"/>
    <w:rsid w:val="008E7EB3"/>
    <w:rsid w:val="008F068A"/>
    <w:rsid w:val="008F12CB"/>
    <w:rsid w:val="008F1EFC"/>
    <w:rsid w:val="008F380E"/>
    <w:rsid w:val="008F5E38"/>
    <w:rsid w:val="00901A2B"/>
    <w:rsid w:val="009105B1"/>
    <w:rsid w:val="00911A26"/>
    <w:rsid w:val="00912224"/>
    <w:rsid w:val="00914149"/>
    <w:rsid w:val="00916C90"/>
    <w:rsid w:val="00916ED4"/>
    <w:rsid w:val="00917281"/>
    <w:rsid w:val="00921622"/>
    <w:rsid w:val="00921DC5"/>
    <w:rsid w:val="0092260F"/>
    <w:rsid w:val="009264D4"/>
    <w:rsid w:val="00926F3A"/>
    <w:rsid w:val="009301C7"/>
    <w:rsid w:val="00930FF8"/>
    <w:rsid w:val="00933F15"/>
    <w:rsid w:val="00934147"/>
    <w:rsid w:val="00935E31"/>
    <w:rsid w:val="00943FBE"/>
    <w:rsid w:val="0094633A"/>
    <w:rsid w:val="00953561"/>
    <w:rsid w:val="0095412D"/>
    <w:rsid w:val="0095542E"/>
    <w:rsid w:val="0095547A"/>
    <w:rsid w:val="009560B3"/>
    <w:rsid w:val="00957DE4"/>
    <w:rsid w:val="0096039F"/>
    <w:rsid w:val="009609BB"/>
    <w:rsid w:val="00960D4E"/>
    <w:rsid w:val="00963153"/>
    <w:rsid w:val="00972DF0"/>
    <w:rsid w:val="00973220"/>
    <w:rsid w:val="00974DB8"/>
    <w:rsid w:val="009861C6"/>
    <w:rsid w:val="00994EEB"/>
    <w:rsid w:val="009A3E16"/>
    <w:rsid w:val="009A7591"/>
    <w:rsid w:val="009B0262"/>
    <w:rsid w:val="009B04B1"/>
    <w:rsid w:val="009B2125"/>
    <w:rsid w:val="009B5185"/>
    <w:rsid w:val="009C0C04"/>
    <w:rsid w:val="009C6769"/>
    <w:rsid w:val="009D01EB"/>
    <w:rsid w:val="009D1BF8"/>
    <w:rsid w:val="009D409D"/>
    <w:rsid w:val="009D5574"/>
    <w:rsid w:val="009E2F95"/>
    <w:rsid w:val="009E6538"/>
    <w:rsid w:val="009F18B0"/>
    <w:rsid w:val="009F44B8"/>
    <w:rsid w:val="009F550F"/>
    <w:rsid w:val="009F7B3F"/>
    <w:rsid w:val="00A0056E"/>
    <w:rsid w:val="00A0200F"/>
    <w:rsid w:val="00A071AF"/>
    <w:rsid w:val="00A121F0"/>
    <w:rsid w:val="00A1346D"/>
    <w:rsid w:val="00A135EC"/>
    <w:rsid w:val="00A13BAE"/>
    <w:rsid w:val="00A167EE"/>
    <w:rsid w:val="00A17C0B"/>
    <w:rsid w:val="00A20B49"/>
    <w:rsid w:val="00A2705E"/>
    <w:rsid w:val="00A35431"/>
    <w:rsid w:val="00A40A16"/>
    <w:rsid w:val="00A44107"/>
    <w:rsid w:val="00A454BA"/>
    <w:rsid w:val="00A46C9F"/>
    <w:rsid w:val="00A47359"/>
    <w:rsid w:val="00A54E81"/>
    <w:rsid w:val="00A55381"/>
    <w:rsid w:val="00A56F1E"/>
    <w:rsid w:val="00A57552"/>
    <w:rsid w:val="00A635F9"/>
    <w:rsid w:val="00A74A67"/>
    <w:rsid w:val="00A80458"/>
    <w:rsid w:val="00A805FA"/>
    <w:rsid w:val="00A82481"/>
    <w:rsid w:val="00A82F7C"/>
    <w:rsid w:val="00A840BE"/>
    <w:rsid w:val="00A84DD4"/>
    <w:rsid w:val="00A861FB"/>
    <w:rsid w:val="00A87711"/>
    <w:rsid w:val="00A90903"/>
    <w:rsid w:val="00A95A17"/>
    <w:rsid w:val="00A9665F"/>
    <w:rsid w:val="00A97FDA"/>
    <w:rsid w:val="00AA0B99"/>
    <w:rsid w:val="00AA1386"/>
    <w:rsid w:val="00AA3B2C"/>
    <w:rsid w:val="00AA3F03"/>
    <w:rsid w:val="00AA492B"/>
    <w:rsid w:val="00AB09E3"/>
    <w:rsid w:val="00AB389F"/>
    <w:rsid w:val="00AB42F0"/>
    <w:rsid w:val="00AB554A"/>
    <w:rsid w:val="00AB6B58"/>
    <w:rsid w:val="00AC0D68"/>
    <w:rsid w:val="00AC7E89"/>
    <w:rsid w:val="00AD401B"/>
    <w:rsid w:val="00AD4E15"/>
    <w:rsid w:val="00AD564E"/>
    <w:rsid w:val="00AE255D"/>
    <w:rsid w:val="00AE30DA"/>
    <w:rsid w:val="00AE365A"/>
    <w:rsid w:val="00AE3966"/>
    <w:rsid w:val="00AE5E45"/>
    <w:rsid w:val="00AE61AC"/>
    <w:rsid w:val="00AE7209"/>
    <w:rsid w:val="00AF21F3"/>
    <w:rsid w:val="00AF298B"/>
    <w:rsid w:val="00AF2993"/>
    <w:rsid w:val="00AF34D1"/>
    <w:rsid w:val="00AF383A"/>
    <w:rsid w:val="00AF4B08"/>
    <w:rsid w:val="00AF5C48"/>
    <w:rsid w:val="00AF6E18"/>
    <w:rsid w:val="00AF7E99"/>
    <w:rsid w:val="00B024BA"/>
    <w:rsid w:val="00B034B0"/>
    <w:rsid w:val="00B11292"/>
    <w:rsid w:val="00B1238C"/>
    <w:rsid w:val="00B13B33"/>
    <w:rsid w:val="00B142A5"/>
    <w:rsid w:val="00B17449"/>
    <w:rsid w:val="00B17DA2"/>
    <w:rsid w:val="00B2008F"/>
    <w:rsid w:val="00B23173"/>
    <w:rsid w:val="00B248EE"/>
    <w:rsid w:val="00B25EDE"/>
    <w:rsid w:val="00B26B25"/>
    <w:rsid w:val="00B312F9"/>
    <w:rsid w:val="00B31484"/>
    <w:rsid w:val="00B36F27"/>
    <w:rsid w:val="00B418E6"/>
    <w:rsid w:val="00B41BF1"/>
    <w:rsid w:val="00B425EA"/>
    <w:rsid w:val="00B42FF1"/>
    <w:rsid w:val="00B44572"/>
    <w:rsid w:val="00B44D8B"/>
    <w:rsid w:val="00B4544F"/>
    <w:rsid w:val="00B469E4"/>
    <w:rsid w:val="00B47876"/>
    <w:rsid w:val="00B47ADD"/>
    <w:rsid w:val="00B62DB1"/>
    <w:rsid w:val="00B65CFF"/>
    <w:rsid w:val="00B73DEA"/>
    <w:rsid w:val="00B765C1"/>
    <w:rsid w:val="00B774C2"/>
    <w:rsid w:val="00B81879"/>
    <w:rsid w:val="00B86183"/>
    <w:rsid w:val="00B86681"/>
    <w:rsid w:val="00B86AC6"/>
    <w:rsid w:val="00B94CFC"/>
    <w:rsid w:val="00BA20C5"/>
    <w:rsid w:val="00BA28FC"/>
    <w:rsid w:val="00BA4290"/>
    <w:rsid w:val="00BB1A89"/>
    <w:rsid w:val="00BB5C3F"/>
    <w:rsid w:val="00BC0910"/>
    <w:rsid w:val="00BC1653"/>
    <w:rsid w:val="00BC1ED0"/>
    <w:rsid w:val="00BC79C5"/>
    <w:rsid w:val="00BC7E6C"/>
    <w:rsid w:val="00BD106C"/>
    <w:rsid w:val="00BD16A9"/>
    <w:rsid w:val="00BD1939"/>
    <w:rsid w:val="00BD4158"/>
    <w:rsid w:val="00BD42D5"/>
    <w:rsid w:val="00BE0B03"/>
    <w:rsid w:val="00BF6787"/>
    <w:rsid w:val="00BF6BDE"/>
    <w:rsid w:val="00BF75F6"/>
    <w:rsid w:val="00C024DF"/>
    <w:rsid w:val="00C03029"/>
    <w:rsid w:val="00C07254"/>
    <w:rsid w:val="00C07A1C"/>
    <w:rsid w:val="00C11EE6"/>
    <w:rsid w:val="00C1206C"/>
    <w:rsid w:val="00C15896"/>
    <w:rsid w:val="00C20969"/>
    <w:rsid w:val="00C2446E"/>
    <w:rsid w:val="00C321C0"/>
    <w:rsid w:val="00C456D3"/>
    <w:rsid w:val="00C54F3F"/>
    <w:rsid w:val="00C5613A"/>
    <w:rsid w:val="00C56F6F"/>
    <w:rsid w:val="00C57773"/>
    <w:rsid w:val="00C57F7E"/>
    <w:rsid w:val="00C709C0"/>
    <w:rsid w:val="00C70DE1"/>
    <w:rsid w:val="00C7113C"/>
    <w:rsid w:val="00C746B1"/>
    <w:rsid w:val="00C76664"/>
    <w:rsid w:val="00C84233"/>
    <w:rsid w:val="00C87247"/>
    <w:rsid w:val="00C87CD5"/>
    <w:rsid w:val="00C91446"/>
    <w:rsid w:val="00C94484"/>
    <w:rsid w:val="00CA1745"/>
    <w:rsid w:val="00CA2102"/>
    <w:rsid w:val="00CA5965"/>
    <w:rsid w:val="00CA5F58"/>
    <w:rsid w:val="00CA67E7"/>
    <w:rsid w:val="00CA79AE"/>
    <w:rsid w:val="00CB757B"/>
    <w:rsid w:val="00CC142A"/>
    <w:rsid w:val="00CE2226"/>
    <w:rsid w:val="00CE4422"/>
    <w:rsid w:val="00CF0DE3"/>
    <w:rsid w:val="00CF1023"/>
    <w:rsid w:val="00CF48D2"/>
    <w:rsid w:val="00CF54CE"/>
    <w:rsid w:val="00D02242"/>
    <w:rsid w:val="00D05DA6"/>
    <w:rsid w:val="00D10FCE"/>
    <w:rsid w:val="00D11961"/>
    <w:rsid w:val="00D16E1D"/>
    <w:rsid w:val="00D20350"/>
    <w:rsid w:val="00D20C83"/>
    <w:rsid w:val="00D235F0"/>
    <w:rsid w:val="00D276CA"/>
    <w:rsid w:val="00D31826"/>
    <w:rsid w:val="00D32A15"/>
    <w:rsid w:val="00D34BF2"/>
    <w:rsid w:val="00D440F4"/>
    <w:rsid w:val="00D462D0"/>
    <w:rsid w:val="00D50D11"/>
    <w:rsid w:val="00D552FE"/>
    <w:rsid w:val="00D555C5"/>
    <w:rsid w:val="00D556EF"/>
    <w:rsid w:val="00D56C16"/>
    <w:rsid w:val="00D57BA1"/>
    <w:rsid w:val="00D6008A"/>
    <w:rsid w:val="00D63357"/>
    <w:rsid w:val="00D63ED4"/>
    <w:rsid w:val="00D6606E"/>
    <w:rsid w:val="00D709E6"/>
    <w:rsid w:val="00D71FCD"/>
    <w:rsid w:val="00D76BF8"/>
    <w:rsid w:val="00D76F69"/>
    <w:rsid w:val="00D84730"/>
    <w:rsid w:val="00D84842"/>
    <w:rsid w:val="00D84BCB"/>
    <w:rsid w:val="00D85428"/>
    <w:rsid w:val="00D913F1"/>
    <w:rsid w:val="00D915DC"/>
    <w:rsid w:val="00D94491"/>
    <w:rsid w:val="00D94531"/>
    <w:rsid w:val="00D94649"/>
    <w:rsid w:val="00D95777"/>
    <w:rsid w:val="00D962EE"/>
    <w:rsid w:val="00D973E0"/>
    <w:rsid w:val="00DB303D"/>
    <w:rsid w:val="00DB6D61"/>
    <w:rsid w:val="00DB7459"/>
    <w:rsid w:val="00DC2BD1"/>
    <w:rsid w:val="00DD0A3B"/>
    <w:rsid w:val="00DD4477"/>
    <w:rsid w:val="00DD5C6D"/>
    <w:rsid w:val="00DD781B"/>
    <w:rsid w:val="00DE1227"/>
    <w:rsid w:val="00DE19D0"/>
    <w:rsid w:val="00DE52CB"/>
    <w:rsid w:val="00DF5D77"/>
    <w:rsid w:val="00DF7FF9"/>
    <w:rsid w:val="00E02025"/>
    <w:rsid w:val="00E02968"/>
    <w:rsid w:val="00E03F2F"/>
    <w:rsid w:val="00E043AF"/>
    <w:rsid w:val="00E0444E"/>
    <w:rsid w:val="00E04D6D"/>
    <w:rsid w:val="00E0676A"/>
    <w:rsid w:val="00E13C1B"/>
    <w:rsid w:val="00E161BF"/>
    <w:rsid w:val="00E17B40"/>
    <w:rsid w:val="00E229EF"/>
    <w:rsid w:val="00E22DB3"/>
    <w:rsid w:val="00E232C2"/>
    <w:rsid w:val="00E26BD3"/>
    <w:rsid w:val="00E358CA"/>
    <w:rsid w:val="00E36FFB"/>
    <w:rsid w:val="00E417D6"/>
    <w:rsid w:val="00E4443F"/>
    <w:rsid w:val="00E44D98"/>
    <w:rsid w:val="00E465E7"/>
    <w:rsid w:val="00E53A4A"/>
    <w:rsid w:val="00E6272E"/>
    <w:rsid w:val="00E71153"/>
    <w:rsid w:val="00E72EEF"/>
    <w:rsid w:val="00E75F20"/>
    <w:rsid w:val="00E76BFC"/>
    <w:rsid w:val="00E81890"/>
    <w:rsid w:val="00E822D8"/>
    <w:rsid w:val="00E828FE"/>
    <w:rsid w:val="00E852B2"/>
    <w:rsid w:val="00E87A4B"/>
    <w:rsid w:val="00E90817"/>
    <w:rsid w:val="00E91A60"/>
    <w:rsid w:val="00E92BA6"/>
    <w:rsid w:val="00E93D90"/>
    <w:rsid w:val="00E96227"/>
    <w:rsid w:val="00EA32BA"/>
    <w:rsid w:val="00EA36C3"/>
    <w:rsid w:val="00EB36CB"/>
    <w:rsid w:val="00EB3F90"/>
    <w:rsid w:val="00EB3FFD"/>
    <w:rsid w:val="00EB4A66"/>
    <w:rsid w:val="00EC262F"/>
    <w:rsid w:val="00EC2664"/>
    <w:rsid w:val="00EC2990"/>
    <w:rsid w:val="00EC444A"/>
    <w:rsid w:val="00EC45B6"/>
    <w:rsid w:val="00ED01D3"/>
    <w:rsid w:val="00ED1D1A"/>
    <w:rsid w:val="00ED2D59"/>
    <w:rsid w:val="00ED385A"/>
    <w:rsid w:val="00ED3E14"/>
    <w:rsid w:val="00ED4326"/>
    <w:rsid w:val="00ED7036"/>
    <w:rsid w:val="00EE388A"/>
    <w:rsid w:val="00EE6060"/>
    <w:rsid w:val="00EE6873"/>
    <w:rsid w:val="00EE6BB9"/>
    <w:rsid w:val="00EF0667"/>
    <w:rsid w:val="00EF2356"/>
    <w:rsid w:val="00EF43BF"/>
    <w:rsid w:val="00EF73A3"/>
    <w:rsid w:val="00F03070"/>
    <w:rsid w:val="00F033D4"/>
    <w:rsid w:val="00F05752"/>
    <w:rsid w:val="00F064C1"/>
    <w:rsid w:val="00F13F10"/>
    <w:rsid w:val="00F164A2"/>
    <w:rsid w:val="00F17CE4"/>
    <w:rsid w:val="00F20409"/>
    <w:rsid w:val="00F21F27"/>
    <w:rsid w:val="00F2656C"/>
    <w:rsid w:val="00F27B33"/>
    <w:rsid w:val="00F32547"/>
    <w:rsid w:val="00F32EE0"/>
    <w:rsid w:val="00F345C4"/>
    <w:rsid w:val="00F371BE"/>
    <w:rsid w:val="00F40ECC"/>
    <w:rsid w:val="00F420DD"/>
    <w:rsid w:val="00F4255D"/>
    <w:rsid w:val="00F471D4"/>
    <w:rsid w:val="00F54907"/>
    <w:rsid w:val="00F55C6D"/>
    <w:rsid w:val="00F566C1"/>
    <w:rsid w:val="00F56AE3"/>
    <w:rsid w:val="00F5704A"/>
    <w:rsid w:val="00F60492"/>
    <w:rsid w:val="00F633CF"/>
    <w:rsid w:val="00F72759"/>
    <w:rsid w:val="00F72AE0"/>
    <w:rsid w:val="00F80435"/>
    <w:rsid w:val="00F80674"/>
    <w:rsid w:val="00F81184"/>
    <w:rsid w:val="00F8230B"/>
    <w:rsid w:val="00F86DDE"/>
    <w:rsid w:val="00F87B17"/>
    <w:rsid w:val="00F90F3A"/>
    <w:rsid w:val="00F94FA0"/>
    <w:rsid w:val="00FA0423"/>
    <w:rsid w:val="00FA08E2"/>
    <w:rsid w:val="00FA1171"/>
    <w:rsid w:val="00FA346C"/>
    <w:rsid w:val="00FA5365"/>
    <w:rsid w:val="00FA5FE8"/>
    <w:rsid w:val="00FA7DAA"/>
    <w:rsid w:val="00FB3555"/>
    <w:rsid w:val="00FB6C60"/>
    <w:rsid w:val="00FB7E64"/>
    <w:rsid w:val="00FC0EAE"/>
    <w:rsid w:val="00FC1C75"/>
    <w:rsid w:val="00FC31EE"/>
    <w:rsid w:val="00FC4431"/>
    <w:rsid w:val="00FD0768"/>
    <w:rsid w:val="00FD0884"/>
    <w:rsid w:val="00FD1876"/>
    <w:rsid w:val="00FD383F"/>
    <w:rsid w:val="00FD4222"/>
    <w:rsid w:val="00FD7062"/>
    <w:rsid w:val="00FD765E"/>
    <w:rsid w:val="00FE21DE"/>
    <w:rsid w:val="00FE2487"/>
    <w:rsid w:val="00FE6E38"/>
    <w:rsid w:val="00FF034A"/>
    <w:rsid w:val="00FF11AB"/>
    <w:rsid w:val="00FF18AD"/>
    <w:rsid w:val="00FF4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E5"/>
    <w:pPr>
      <w:widowControl w:val="0"/>
      <w:jc w:val="both"/>
    </w:pPr>
    <w:rPr>
      <w:rFonts w:ascii="仿宋_GB2312" w:eastAsia="仿宋_GB2312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E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A2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2CE5"/>
    <w:rPr>
      <w:rFonts w:ascii="仿宋_GB2312" w:eastAsia="仿宋_GB2312" w:hAnsi="宋体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2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2CE5"/>
    <w:rPr>
      <w:rFonts w:ascii="仿宋_GB2312" w:eastAsia="仿宋_GB2312" w:hAnsi="宋体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A2C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A2CE5"/>
    <w:rPr>
      <w:rFonts w:ascii="仿宋_GB2312" w:eastAsia="仿宋_GB2312" w:hAnsi="宋体" w:cs="Times New Roman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B034B0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2B3221"/>
    <w:pPr>
      <w:tabs>
        <w:tab w:val="left" w:pos="360"/>
      </w:tabs>
    </w:pPr>
    <w:rPr>
      <w:rFonts w:ascii="Times New Roman" w:eastAsia="宋体" w:hAnsi="Times New Roman"/>
      <w:sz w:val="21"/>
      <w:szCs w:val="24"/>
    </w:rPr>
  </w:style>
  <w:style w:type="table" w:styleId="a7">
    <w:name w:val="Table Grid"/>
    <w:basedOn w:val="a1"/>
    <w:uiPriority w:val="59"/>
    <w:rsid w:val="002C6B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E5"/>
    <w:pPr>
      <w:widowControl w:val="0"/>
      <w:jc w:val="both"/>
    </w:pPr>
    <w:rPr>
      <w:rFonts w:ascii="仿宋_GB2312" w:eastAsia="仿宋_GB2312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CE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A2C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A2CE5"/>
    <w:rPr>
      <w:rFonts w:ascii="仿宋_GB2312" w:eastAsia="仿宋_GB2312" w:hAnsi="宋体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A2C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2CE5"/>
    <w:rPr>
      <w:rFonts w:ascii="仿宋_GB2312" w:eastAsia="仿宋_GB2312" w:hAnsi="宋体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A2CE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A2CE5"/>
    <w:rPr>
      <w:rFonts w:ascii="仿宋_GB2312" w:eastAsia="仿宋_GB2312" w:hAnsi="宋体" w:cs="Times New Roman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B034B0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2B3221"/>
    <w:pPr>
      <w:tabs>
        <w:tab w:val="left" w:pos="360"/>
      </w:tabs>
    </w:pPr>
    <w:rPr>
      <w:rFonts w:ascii="Times New Roman" w:eastAsia="宋体" w:hAnsi="Times New Roman"/>
      <w:sz w:val="21"/>
      <w:szCs w:val="24"/>
    </w:rPr>
  </w:style>
  <w:style w:type="table" w:styleId="a7">
    <w:name w:val="Table Grid"/>
    <w:basedOn w:val="a1"/>
    <w:uiPriority w:val="59"/>
    <w:rsid w:val="002C6B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749A-5BE6-4CB5-AAA9-6D604B46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2020-10-09T06:29:00Z</cp:lastPrinted>
  <dcterms:created xsi:type="dcterms:W3CDTF">2020-12-28T00:26:00Z</dcterms:created>
  <dcterms:modified xsi:type="dcterms:W3CDTF">2021-10-11T09:30:00Z</dcterms:modified>
</cp:coreProperties>
</file>